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55" w:rsidRDefault="00136055" w:rsidP="001360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FAD">
        <w:rPr>
          <w:rFonts w:ascii="Times New Roman" w:hAnsi="Times New Roman" w:cs="Times New Roman"/>
          <w:b/>
          <w:sz w:val="28"/>
          <w:szCs w:val="28"/>
        </w:rPr>
        <w:t>«</w:t>
      </w:r>
      <w:r w:rsidR="00D43036" w:rsidRPr="00D43036">
        <w:rPr>
          <w:rFonts w:ascii="Times New Roman" w:hAnsi="Times New Roman" w:cs="Times New Roman"/>
          <w:b/>
          <w:sz w:val="28"/>
          <w:szCs w:val="28"/>
        </w:rPr>
        <w:t xml:space="preserve">ДИФФЕРЕНЦИАЛЬНАЯ ДИАГНОСТИКА </w:t>
      </w:r>
      <w:proofErr w:type="gramStart"/>
      <w:r w:rsidR="00D43036" w:rsidRPr="00D43036">
        <w:rPr>
          <w:rFonts w:ascii="Times New Roman" w:hAnsi="Times New Roman" w:cs="Times New Roman"/>
          <w:b/>
          <w:sz w:val="28"/>
          <w:szCs w:val="28"/>
        </w:rPr>
        <w:t>СЕКРЕТОРНОЙ</w:t>
      </w:r>
      <w:proofErr w:type="gramEnd"/>
      <w:r w:rsidR="00D43036" w:rsidRPr="00D43036">
        <w:rPr>
          <w:rFonts w:ascii="Times New Roman" w:hAnsi="Times New Roman" w:cs="Times New Roman"/>
          <w:b/>
          <w:sz w:val="28"/>
          <w:szCs w:val="28"/>
        </w:rPr>
        <w:t xml:space="preserve"> И ИНВАЗИВНОЙ ДИАРЕЙ, ПОДХОДЫ К ЛЕЧЕНИЮ</w:t>
      </w:r>
      <w:r w:rsidRPr="00723FAD">
        <w:rPr>
          <w:rFonts w:ascii="Times New Roman" w:hAnsi="Times New Roman" w:cs="Times New Roman"/>
          <w:b/>
          <w:sz w:val="28"/>
          <w:szCs w:val="28"/>
        </w:rPr>
        <w:t>»</w:t>
      </w:r>
    </w:p>
    <w:p w:rsidR="00136055" w:rsidRDefault="00136055" w:rsidP="001360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Автор: </w:t>
      </w:r>
      <w:r w:rsidRPr="00CC7064">
        <w:rPr>
          <w:rFonts w:ascii="Times New Roman" w:hAnsi="Times New Roman" w:cs="Times New Roman"/>
          <w:b/>
          <w:i/>
          <w:sz w:val="24"/>
          <w:szCs w:val="24"/>
        </w:rPr>
        <w:t>Перфильева Анна Владимировна,</w:t>
      </w:r>
    </w:p>
    <w:p w:rsidR="00136055" w:rsidRPr="00CC7064" w:rsidRDefault="00136055" w:rsidP="001360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студентка краевого государственного бюджетного профессионального образовательного учреждения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Ачинский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медицинский техникум»</w:t>
      </w:r>
    </w:p>
    <w:p w:rsidR="00136055" w:rsidRPr="00CC7064" w:rsidRDefault="00136055" w:rsidP="001360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C7064">
        <w:rPr>
          <w:rFonts w:ascii="Times New Roman" w:hAnsi="Times New Roman" w:cs="Times New Roman"/>
          <w:b/>
          <w:i/>
          <w:sz w:val="24"/>
          <w:szCs w:val="24"/>
        </w:rPr>
        <w:t>Руководитель: Масловская Елена Сергеевна</w:t>
      </w:r>
      <w:r>
        <w:rPr>
          <w:rFonts w:ascii="Times New Roman" w:hAnsi="Times New Roman" w:cs="Times New Roman"/>
          <w:b/>
          <w:i/>
          <w:sz w:val="24"/>
          <w:szCs w:val="24"/>
        </w:rPr>
        <w:t>, преподаватель</w:t>
      </w:r>
    </w:p>
    <w:p w:rsidR="00136055" w:rsidRPr="004B7D2D" w:rsidRDefault="00136055" w:rsidP="00DC7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Секреторная диарея развивается вследствие усиления активной секреции натрия и воды в просвет кишки. Ряд возбудителей (кишечная палочка, стафилококки,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ротавирусы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>) размножаются в кишечнике и/или вырабатывают токсины, которые стимулируют секрецию без повреждения клеток слизистых оболочек ЖКТ.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Инвазивная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диарея характеризуется тем, что возбудитель проникает в эпителий кишечной стенки, размножается, вызывая деструктивные изменения, приводящие к слущиванию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микроворсинок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энтероцитов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, некрозам и изъязвлениям, вследствие чего нарушается пищеварение и всасывание с развитием диареи. </w:t>
      </w:r>
    </w:p>
    <w:p w:rsidR="00D43036" w:rsidRPr="00D43036" w:rsidRDefault="00D43036" w:rsidP="00D430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036">
        <w:rPr>
          <w:rFonts w:ascii="Times New Roman" w:hAnsi="Times New Roman" w:cs="Times New Roman"/>
          <w:b/>
          <w:sz w:val="24"/>
          <w:szCs w:val="24"/>
        </w:rPr>
        <w:t xml:space="preserve">Этиология </w:t>
      </w:r>
      <w:proofErr w:type="gramStart"/>
      <w:r w:rsidRPr="00D43036">
        <w:rPr>
          <w:rFonts w:ascii="Times New Roman" w:hAnsi="Times New Roman" w:cs="Times New Roman"/>
          <w:b/>
          <w:sz w:val="24"/>
          <w:szCs w:val="24"/>
        </w:rPr>
        <w:t>секреторной</w:t>
      </w:r>
      <w:proofErr w:type="gramEnd"/>
      <w:r w:rsidRPr="00D4303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D43036">
        <w:rPr>
          <w:rFonts w:ascii="Times New Roman" w:hAnsi="Times New Roman" w:cs="Times New Roman"/>
          <w:b/>
          <w:sz w:val="24"/>
          <w:szCs w:val="24"/>
        </w:rPr>
        <w:t>инвазивной</w:t>
      </w:r>
      <w:proofErr w:type="spellEnd"/>
      <w:r w:rsidRPr="00D43036">
        <w:rPr>
          <w:rFonts w:ascii="Times New Roman" w:hAnsi="Times New Roman" w:cs="Times New Roman"/>
          <w:b/>
          <w:sz w:val="24"/>
          <w:szCs w:val="24"/>
        </w:rPr>
        <w:t xml:space="preserve"> диарей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Секреторная диарея преимущественно вирусной этиологии (кишечная палочка, стафилококки,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ротавирусы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), а также причиной может являться холерный вибрион. 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В основе этиологии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инвазивной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диареи лежат возбудители бактерий, такие как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шигеллы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, сальмонеллы,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клостридии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и др., которые способны к "инвазии".</w:t>
      </w:r>
    </w:p>
    <w:p w:rsidR="00D43036" w:rsidRPr="00D43036" w:rsidRDefault="00D43036" w:rsidP="00D430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036">
        <w:rPr>
          <w:rFonts w:ascii="Times New Roman" w:hAnsi="Times New Roman" w:cs="Times New Roman"/>
          <w:b/>
          <w:sz w:val="24"/>
          <w:szCs w:val="24"/>
        </w:rPr>
        <w:t>Патогенез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В основе патогенеза секреторной диареи лежит гиперсекреция воды и электролитов эпителием в просвет кишечника и нарушение их всасывания за счет активации системы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аденилатциклазы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под воздействием секреторных агентов, главным образом - бактериального экзотоксина. При этом типе диареи в патологический процесс вовлекается только тонкий кишечник без развития воспалительного процесса, а кишечная инфекция сопровождается жидким, обильным водянистым стулом без патологических примесей. Как правило, заболевание начинается с появления частого жидкого стула без повышения температуры тела (или в пределах 37,2-37,8°C), затем появляется рвота и быстро наступает обезвоживание организма, которое и определяет основную тяжесть и исход заболевания.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Возбудители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инвазивной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диареи размножаются не только на поверхности эпителия кишечника, но и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внутриклеточно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, а в ряде случаев и проникают в кровь с развитием бактериемии и сепсиса. </w:t>
      </w:r>
      <w:proofErr w:type="gramStart"/>
      <w:r w:rsidRPr="00D43036">
        <w:rPr>
          <w:rFonts w:ascii="Times New Roman" w:hAnsi="Times New Roman" w:cs="Times New Roman"/>
          <w:sz w:val="24"/>
          <w:szCs w:val="24"/>
        </w:rPr>
        <w:t>Происходит воспалительный процесс в тонком и/или толстом отделе кишечника различной степени выраженности (от катарального до язвенно-некротического), которая и определяет тяжесть заболевания.</w:t>
      </w:r>
      <w:proofErr w:type="gramEnd"/>
      <w:r w:rsidRPr="00D43036">
        <w:rPr>
          <w:rFonts w:ascii="Times New Roman" w:hAnsi="Times New Roman" w:cs="Times New Roman"/>
          <w:sz w:val="24"/>
          <w:szCs w:val="24"/>
        </w:rPr>
        <w:t xml:space="preserve"> Воспалительный процесс в кишечнике является основой появления рвоты, болевого синдрома, ускоренной </w:t>
      </w:r>
      <w:r w:rsidRPr="00D43036">
        <w:rPr>
          <w:rFonts w:ascii="Times New Roman" w:hAnsi="Times New Roman" w:cs="Times New Roman"/>
          <w:sz w:val="24"/>
          <w:szCs w:val="24"/>
        </w:rPr>
        <w:lastRenderedPageBreak/>
        <w:t>перистальтики и быстрой эвакуации кишечного содержимого, нарушения всасывания воды из кишечника (диареи) и пищеварительной функции - нередко с развитием бродильной диспепсии (метеоризма). В испражнениях присутствуют патологические примеси (слизь, зелень, нередко примесь крови). Токсины бактерий, продукты воспаления и другие токсические соединения всасываются из кишечника в кровь и являются основной причиной (как и обезвоживание организма) развития тяжелых синдромов инфекционного токсикоза и интоксикации (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эндотоксикоза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>), которые и определяют не только тяжесть, но и исход заболевания.</w:t>
      </w:r>
    </w:p>
    <w:p w:rsidR="00D43036" w:rsidRPr="00D43036" w:rsidRDefault="00D43036" w:rsidP="00D430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036">
        <w:rPr>
          <w:rFonts w:ascii="Times New Roman" w:hAnsi="Times New Roman" w:cs="Times New Roman"/>
          <w:b/>
          <w:sz w:val="24"/>
          <w:szCs w:val="24"/>
        </w:rPr>
        <w:t>Клинические симптомы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036">
        <w:rPr>
          <w:rFonts w:ascii="Times New Roman" w:hAnsi="Times New Roman" w:cs="Times New Roman"/>
          <w:sz w:val="24"/>
          <w:szCs w:val="24"/>
        </w:rPr>
        <w:t>Входными воротами инфекции с развитием воспалительного процесса различной выраженности (от катарального до язвенно-некротического) при ОКИ бактериальной этиологии «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инвазивного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>» типа может быть любой отдел ЖКТ.</w:t>
      </w:r>
      <w:proofErr w:type="gramEnd"/>
      <w:r w:rsidRPr="00D43036">
        <w:rPr>
          <w:rFonts w:ascii="Times New Roman" w:hAnsi="Times New Roman" w:cs="Times New Roman"/>
          <w:sz w:val="24"/>
          <w:szCs w:val="24"/>
        </w:rPr>
        <w:t xml:space="preserve"> При водянистых диареях, протекающих по типу «секреторной» или «осмотической», в патологический процесс вовлекается только тонкий отдел кишечника. В зависимости от того, какой отдел ЖКТ поражен, топический диагноз может быть: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1. Гастрит – поражение слизистой желудка, сопровождается болями и ощущением тяжести в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эпигастральной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области, тошнотой и повторной рвотой на фоне умеренной лихорадки и интоксикации. Возможно кратковременное разжижение стула со зловонным запахом. В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копрограмме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– большое количество соединительной ткани, грубой растительной клетчатки и поперечно-исчерченных мышечных волокон.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>2. Энтерит – поражение тонкого отдела кишечника, проявляется н</w:t>
      </w:r>
      <w:proofErr w:type="gramStart"/>
      <w:r w:rsidRPr="00D4303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43036">
        <w:rPr>
          <w:rFonts w:ascii="Times New Roman" w:hAnsi="Times New Roman" w:cs="Times New Roman"/>
          <w:sz w:val="24"/>
          <w:szCs w:val="24"/>
        </w:rPr>
        <w:t xml:space="preserve"> локализованными (или вокруг пупка), постоянными или периодически повторяющимися, самостоятельными или при пальпации болями в животе, явлениями метеоризма; жидким обильным, водянистым, нередко – пенистым стулом с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непереваренными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комочками пищи, желтого или желто-зеленого цвета с резким кислым запахом и небольшим количеством прозрачной слизи (в виде комочков или хлопьев). В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копрограмме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– большое количество жирных кислот, зерен крахмала (вне- и внутриклеточного), мышечных волокон и мыла (соли жирных кислот)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3. Гастроэнтерит – сочетание гастрита с энтеритом, наиболее часто встречающееся </w:t>
      </w:r>
      <w:proofErr w:type="gramStart"/>
      <w:r w:rsidRPr="00D4303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430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3036">
        <w:rPr>
          <w:rFonts w:ascii="Times New Roman" w:hAnsi="Times New Roman" w:cs="Times New Roman"/>
          <w:sz w:val="24"/>
          <w:szCs w:val="24"/>
        </w:rPr>
        <w:t>ОКИ</w:t>
      </w:r>
      <w:proofErr w:type="gramEnd"/>
      <w:r w:rsidRPr="00D43036">
        <w:rPr>
          <w:rFonts w:ascii="Times New Roman" w:hAnsi="Times New Roman" w:cs="Times New Roman"/>
          <w:sz w:val="24"/>
          <w:szCs w:val="24"/>
        </w:rPr>
        <w:t xml:space="preserve"> вирусной этиологии,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эшерихиозах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>, сальмонеллезе.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43036">
        <w:rPr>
          <w:rFonts w:ascii="Times New Roman" w:hAnsi="Times New Roman" w:cs="Times New Roman"/>
          <w:sz w:val="24"/>
          <w:szCs w:val="24"/>
        </w:rPr>
        <w:t>Колит – воспалительное поражение толстого кишечника, развивается при ОКИ «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инвазивного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>» типа, сопровождается самостоятельными (или при пальпации), постоянными (или периодически повторяющимися) болями по ходу толстого кишечника и жидким, необильным, каловым стулом с неприятным запахом и патологическими примесями (мутная слизь, зелень, кровь).</w:t>
      </w:r>
      <w:proofErr w:type="gramEnd"/>
      <w:r w:rsidRPr="00D4303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копрограмме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– много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неперевариваемой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</w:t>
      </w:r>
      <w:r w:rsidRPr="00D43036">
        <w:rPr>
          <w:rFonts w:ascii="Times New Roman" w:hAnsi="Times New Roman" w:cs="Times New Roman"/>
          <w:sz w:val="24"/>
          <w:szCs w:val="24"/>
        </w:rPr>
        <w:lastRenderedPageBreak/>
        <w:t xml:space="preserve">клетчатки, внутриклеточного крахмала и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йодофильной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микрофлоры и признаки воспаления (лейкоциты, эритроциты, слизь).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>5. Энтероколит – одновременное поражение тонкой и толстой кишки, клинически проявляющееся появлением обильного жидкого калового стула с примесью мутной слизи, иногда большого количества зелени (по типу «болотной тины») и крови.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Гастроэнтероколит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– поражение всех отделов пищеварительного тракта, сопровождается повторной рвотой, болями в животе и симптомами энтероколита на фоне интоксикации.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>7. Дистальный колит – вовлечение в патологический процесс сигмовидной и прямой кишки.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Клинический синдром, характерный для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шигеллезов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, проявляется самостоятельными (или при пальпации) болями в левой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повздошной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области. Боли могут носить постоянный характер, но усиливаются или возникают только перед актом дефекации (тенезмы). Сигмовидная кишка при пальпации болезненна и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спазмирована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сфинктерит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, податливость и зияние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ануса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>. Стул жидкий, частый, скудный, с большим количеством мутной слизи, нередко – зелени и крови («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гемоколит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»). При тяжелых формах дистального колита стул, как правило, теряет каловый характер, запах и может представлять собой «ректальный плевок» в виде мутной слизи с примесью зелени и крови. В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копрограмме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– большое количество лейкоцитов, эритроцитов и слизи.</w:t>
      </w:r>
    </w:p>
    <w:p w:rsidR="00D43036" w:rsidRPr="00D43036" w:rsidRDefault="00D43036" w:rsidP="00D430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036">
        <w:rPr>
          <w:rFonts w:ascii="Times New Roman" w:hAnsi="Times New Roman" w:cs="Times New Roman"/>
          <w:b/>
          <w:sz w:val="24"/>
          <w:szCs w:val="24"/>
        </w:rPr>
        <w:t>Диагностика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>Для установления причин и тяжести диареи нужно направить пациента на инструментальные и лабораторные исследования.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При диарее всегда тщательно осматривается стул больного, кроме того, желательно осуществить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проктологический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осмотр. Выявление анальной трещины, свища, парапроктита может позволить предположить имеющую место болезнь Крона. При любой диарее производят комплексное исследование органов пищеварительного тракта. 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Инструментальные эндоскопические методики (гастроскопия,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колоноскопия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ирригоскопия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ректороманоскопия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>) позволяют осмотреть внутренние стенки верхних отделов желудочно-кишечного тракта и толстого кишечника, обнаружить повреждения слизистой, воспаления, новообразования, кровоточащие изъязвления и т. д.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Для диагностирования острой диареи, как правило, достаточно жалоб, данных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физикального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обследования и исследования кала (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копрограмма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). Кроме того, производится исследование кала на яйца глистов, делается бактериологический посев. При диагностике хронической диареи первоначально выясняют, имеет ли место паразитарное или бактериальное поражение кишечника, производят УЗИ органов </w:t>
      </w:r>
      <w:r w:rsidRPr="00D43036">
        <w:rPr>
          <w:rFonts w:ascii="Times New Roman" w:hAnsi="Times New Roman" w:cs="Times New Roman"/>
          <w:sz w:val="24"/>
          <w:szCs w:val="24"/>
        </w:rPr>
        <w:lastRenderedPageBreak/>
        <w:t>брюшной полости на предмет выявления воспалительных заболеваний пищеварительного тракта и исследование функциональных расстройств секреторной деятельности печени, поджелудочной железы, желез слизистой оболочки желудка и тонкого кишечника.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Микроскопия кала позволяет выявить высокое содержание в нем лейкоцитов и эпителиальных клеток, что говорит о наличии воспаления слизистой оболочки пищеварительного тракта. Обнаруженный избыток жирных кислот является следствием нарушения всасывания жиров. В совокупности с остатками мышечных волокон и высоким содержанием крахмала в каловых массах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стеаторея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является признаком синдрома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мальабсорбции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. Процессы брожения вследствие развития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дисбиоза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способствуют изменению нормального кислотно-щелочного баланса в кишечнике. Для выявления таких нарушений измеряют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кишечника (в норме составляет 6,0).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>Общий анализ крови позволяет оценить общее состояние здоровья, выявить воспаления, интоксикации, заподозрить бактериальные и вирусные инфекции. Высокий уровень лейкоцитов в анализе указывает на воспаление. Высокий гематокрит – один из признаков обезвоживания организма на фоне изнурительной диареи.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Также проводится лабораторная диагностика с помощью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генно-диагностического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метода ПЦР, а также ИФА фекалий.</w:t>
      </w:r>
    </w:p>
    <w:p w:rsidR="00D43036" w:rsidRPr="00D43036" w:rsidRDefault="00D43036" w:rsidP="00D430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036">
        <w:rPr>
          <w:rFonts w:ascii="Times New Roman" w:hAnsi="Times New Roman" w:cs="Times New Roman"/>
          <w:b/>
          <w:sz w:val="24"/>
          <w:szCs w:val="24"/>
        </w:rPr>
        <w:t xml:space="preserve">Дифференциальная диагностика </w:t>
      </w:r>
      <w:proofErr w:type="gramStart"/>
      <w:r w:rsidRPr="00D43036">
        <w:rPr>
          <w:rFonts w:ascii="Times New Roman" w:hAnsi="Times New Roman" w:cs="Times New Roman"/>
          <w:b/>
          <w:sz w:val="24"/>
          <w:szCs w:val="24"/>
        </w:rPr>
        <w:t>секреторной</w:t>
      </w:r>
      <w:proofErr w:type="gramEnd"/>
      <w:r w:rsidRPr="00D4303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D43036">
        <w:rPr>
          <w:rFonts w:ascii="Times New Roman" w:hAnsi="Times New Roman" w:cs="Times New Roman"/>
          <w:b/>
          <w:sz w:val="24"/>
          <w:szCs w:val="24"/>
        </w:rPr>
        <w:t>инвазивной</w:t>
      </w:r>
      <w:proofErr w:type="spellEnd"/>
      <w:r w:rsidRPr="00D43036">
        <w:rPr>
          <w:rFonts w:ascii="Times New Roman" w:hAnsi="Times New Roman" w:cs="Times New Roman"/>
          <w:b/>
          <w:sz w:val="24"/>
          <w:szCs w:val="24"/>
        </w:rPr>
        <w:t xml:space="preserve"> диарей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Диагностическими критериями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диарейного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синдрома являются:</w:t>
      </w:r>
    </w:p>
    <w:p w:rsidR="00D43036" w:rsidRPr="00D43036" w:rsidRDefault="00D43036" w:rsidP="00D43036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>Частота стула;</w:t>
      </w:r>
    </w:p>
    <w:p w:rsidR="00D43036" w:rsidRPr="00D43036" w:rsidRDefault="00D43036" w:rsidP="00D43036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>Объем стула;</w:t>
      </w:r>
    </w:p>
    <w:p w:rsidR="00D43036" w:rsidRPr="00D43036" w:rsidRDefault="00D43036" w:rsidP="00D43036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>Характер стула;</w:t>
      </w:r>
    </w:p>
    <w:p w:rsidR="00D43036" w:rsidRPr="00D43036" w:rsidRDefault="00D43036" w:rsidP="00D43036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Наличие/отсутствие тенезмов.  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Частота стула может зависеть от различных причин, что вызывает его колебания от 2-3 до 10-15 раз в сутки. </w:t>
      </w:r>
      <w:proofErr w:type="gramStart"/>
      <w:r w:rsidRPr="00D43036">
        <w:rPr>
          <w:rFonts w:ascii="Times New Roman" w:hAnsi="Times New Roman" w:cs="Times New Roman"/>
          <w:sz w:val="24"/>
          <w:szCs w:val="24"/>
        </w:rPr>
        <w:t>Причем отмечается объем каловых масс: более редкий стул сочетается с большим его объемом, а более частый – с небольшим.</w:t>
      </w:r>
      <w:proofErr w:type="gramEnd"/>
      <w:r w:rsidRPr="00D43036">
        <w:rPr>
          <w:rFonts w:ascii="Times New Roman" w:hAnsi="Times New Roman" w:cs="Times New Roman"/>
          <w:sz w:val="24"/>
          <w:szCs w:val="24"/>
        </w:rPr>
        <w:t xml:space="preserve"> Наличие редкой (2-3 раза в сутки) дефекации и жидкого обильного стула характерно для поражения тонкой кишки. Частый стул малого объема </w:t>
      </w:r>
      <w:proofErr w:type="gramStart"/>
      <w:r w:rsidRPr="00D43036">
        <w:rPr>
          <w:rFonts w:ascii="Times New Roman" w:hAnsi="Times New Roman" w:cs="Times New Roman"/>
          <w:sz w:val="24"/>
          <w:szCs w:val="24"/>
        </w:rPr>
        <w:t>свидетельствует о поражении толстого кишечника Понятие характера стула включает</w:t>
      </w:r>
      <w:proofErr w:type="gramEnd"/>
      <w:r w:rsidRPr="00D43036">
        <w:rPr>
          <w:rFonts w:ascii="Times New Roman" w:hAnsi="Times New Roman" w:cs="Times New Roman"/>
          <w:sz w:val="24"/>
          <w:szCs w:val="24"/>
        </w:rPr>
        <w:t xml:space="preserve"> такие его качества, как консистенция (жидкий, кашицеобразный, полуоформленный), наличие или отсутствие патологических примесей (слизи, крови, гноя),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непереваренных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остатков пищи (жиров –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стеаторея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, мышечных волокон –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креаторея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, растительных волокон, крахмала –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амилорея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>). Помимо этого, стул может быть пенистым (большое количество газа), его запах может быть кислым или зловонным.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lastRenderedPageBreak/>
        <w:t xml:space="preserve">Как правило, по характеру стула можно судить о поражения кишечника (толстого или тонкого). 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энтеритический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стул: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полифекалия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при отсутствии патологических примесей, часто кашицеобразной или мазеобразной консистенции с большим количеством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непереваренных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остатков пищи, пенистого характера, с неприятным запахом указывает на патологический процесс в тонкой кишке.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колитический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 стул: наличие в стуле примеси свежих кровянистых выделений говорит о воспалении толстой кишки. Слизь и гной при малом объеме стула также свидетельствуют о локализации патологии в толстом кишечнике. Минимальный же объем испражнений в форме «ректального плевка» является признаком поражения ректосигмоидального отдела толстого кишечника.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4303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43036">
        <w:rPr>
          <w:rFonts w:ascii="Times New Roman" w:hAnsi="Times New Roman" w:cs="Times New Roman"/>
          <w:sz w:val="24"/>
          <w:szCs w:val="24"/>
        </w:rPr>
        <w:t xml:space="preserve">ри  тотальном поражении желудочно-кишечного тракта диарея носит смешанный характер. Стул при значительном или небольшом объеме может содержать и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непереваренные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остатки пищи, и патологические примеси (чаще слизь).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Изменения цвета кала, который определяется качественным составом пищи, степенью ее обработки ферментами, наличием примесей, часто сопровождают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диарейный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синдром. Обесцвеченные беловато-серые испражнения бывают при ахолии (обусловленной механической желтухой), иногда такой цвет приобретает кал при обильной примеси гноя и слизи. У детей стул при диарее нередко приобретает зеленый цвет.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>Тенезмы (болезненные, ложные позывы на дефекацию) являются результатом спастических сокращений мышц прямой и сигмовидной кишки в сочетании со спастическим сокращением мышц сфинктеров. Тенезмы говорят о глубоком повреждении кишечной стенки, локализованном в ректосигмоидальном отделе.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Дифференциальная диагностика по основным клиническим синдромам секреторной и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инвазивной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диарей представлена в таблице 1.</w:t>
      </w:r>
    </w:p>
    <w:p w:rsidR="00D43036" w:rsidRPr="00D43036" w:rsidRDefault="00D43036" w:rsidP="00D4303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Style w:val="a6"/>
        <w:tblW w:w="0" w:type="auto"/>
        <w:tblInd w:w="108" w:type="dxa"/>
        <w:tblLook w:val="04A0"/>
      </w:tblPr>
      <w:tblGrid>
        <w:gridCol w:w="2977"/>
        <w:gridCol w:w="3260"/>
        <w:gridCol w:w="3226"/>
      </w:tblGrid>
      <w:tr w:rsidR="00D43036" w:rsidRPr="00D43036" w:rsidTr="00D57245">
        <w:tc>
          <w:tcPr>
            <w:tcW w:w="2977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260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Секреторная диарея</w:t>
            </w:r>
          </w:p>
        </w:tc>
        <w:tc>
          <w:tcPr>
            <w:tcW w:w="3226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Инвазивная</w:t>
            </w:r>
            <w:proofErr w:type="spellEnd"/>
            <w:r w:rsidRPr="00D43036">
              <w:rPr>
                <w:rFonts w:ascii="Times New Roman" w:hAnsi="Times New Roman" w:cs="Times New Roman"/>
                <w:sz w:val="24"/>
                <w:szCs w:val="24"/>
              </w:rPr>
              <w:t xml:space="preserve"> диарея</w:t>
            </w:r>
          </w:p>
        </w:tc>
      </w:tr>
      <w:tr w:rsidR="00D43036" w:rsidRPr="00D43036" w:rsidTr="00D57245">
        <w:tc>
          <w:tcPr>
            <w:tcW w:w="2977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Характер стула</w:t>
            </w:r>
          </w:p>
        </w:tc>
        <w:tc>
          <w:tcPr>
            <w:tcW w:w="3260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Водянистый, нет крови и гноя в кале, объём стула может быть большим</w:t>
            </w:r>
          </w:p>
        </w:tc>
        <w:tc>
          <w:tcPr>
            <w:tcW w:w="3226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Стул со слизью, кровью, частая дефекация малыми объёмами</w:t>
            </w:r>
          </w:p>
        </w:tc>
      </w:tr>
      <w:tr w:rsidR="00D43036" w:rsidRPr="00D43036" w:rsidTr="00D57245">
        <w:tc>
          <w:tcPr>
            <w:tcW w:w="2977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Тенезмы</w:t>
            </w:r>
          </w:p>
        </w:tc>
        <w:tc>
          <w:tcPr>
            <w:tcW w:w="3260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226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Могут быть</w:t>
            </w:r>
          </w:p>
        </w:tc>
      </w:tr>
      <w:tr w:rsidR="00D43036" w:rsidRPr="00D43036" w:rsidTr="00D57245">
        <w:tc>
          <w:tcPr>
            <w:tcW w:w="2977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Лихорадка</w:t>
            </w:r>
          </w:p>
        </w:tc>
        <w:tc>
          <w:tcPr>
            <w:tcW w:w="3260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26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Может быть</w:t>
            </w:r>
          </w:p>
        </w:tc>
      </w:tr>
      <w:tr w:rsidR="00D43036" w:rsidRPr="00D43036" w:rsidTr="00D57245">
        <w:tc>
          <w:tcPr>
            <w:tcW w:w="2977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Абдоминальные боли</w:t>
            </w:r>
          </w:p>
        </w:tc>
        <w:tc>
          <w:tcPr>
            <w:tcW w:w="3260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Обычно невыраженные</w:t>
            </w:r>
          </w:p>
        </w:tc>
        <w:tc>
          <w:tcPr>
            <w:tcW w:w="3226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</w:t>
            </w:r>
            <w:proofErr w:type="gramStart"/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выраженные</w:t>
            </w:r>
            <w:proofErr w:type="gramEnd"/>
          </w:p>
        </w:tc>
      </w:tr>
      <w:tr w:rsidR="00D43036" w:rsidRPr="00D43036" w:rsidTr="00D57245">
        <w:tc>
          <w:tcPr>
            <w:tcW w:w="2977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Дегидратация</w:t>
            </w:r>
          </w:p>
        </w:tc>
        <w:tc>
          <w:tcPr>
            <w:tcW w:w="3260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Возможна</w:t>
            </w:r>
          </w:p>
        </w:tc>
        <w:tc>
          <w:tcPr>
            <w:tcW w:w="3226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</w:tr>
      <w:tr w:rsidR="00D43036" w:rsidRPr="00D43036" w:rsidTr="00D57245">
        <w:tc>
          <w:tcPr>
            <w:tcW w:w="2977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Копрология</w:t>
            </w:r>
            <w:proofErr w:type="spellEnd"/>
          </w:p>
        </w:tc>
        <w:tc>
          <w:tcPr>
            <w:tcW w:w="3260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Нет лейкоцитов в фекалиях, нет реакции на кровь</w:t>
            </w:r>
          </w:p>
        </w:tc>
        <w:tc>
          <w:tcPr>
            <w:tcW w:w="3226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Много лейкоцитов в фекалиях, реакция на кровь часто положительная</w:t>
            </w:r>
          </w:p>
        </w:tc>
      </w:tr>
    </w:tbl>
    <w:p w:rsidR="00D43036" w:rsidRPr="00D43036" w:rsidRDefault="00D43036" w:rsidP="00D43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>Также дифференциальную диагностику необходимо проводить и с неинфекционными диареями (таблица 2).</w:t>
      </w:r>
    </w:p>
    <w:p w:rsidR="00D43036" w:rsidRPr="00D43036" w:rsidRDefault="00D43036" w:rsidP="00D4303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>Таблица 2.</w:t>
      </w:r>
    </w:p>
    <w:tbl>
      <w:tblPr>
        <w:tblStyle w:val="a6"/>
        <w:tblW w:w="0" w:type="auto"/>
        <w:tblLook w:val="04A0"/>
      </w:tblPr>
      <w:tblGrid>
        <w:gridCol w:w="3190"/>
        <w:gridCol w:w="2305"/>
        <w:gridCol w:w="4076"/>
      </w:tblGrid>
      <w:tr w:rsidR="00D43036" w:rsidRPr="00D43036" w:rsidTr="00D57245">
        <w:tc>
          <w:tcPr>
            <w:tcW w:w="3190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Симптомы</w:t>
            </w:r>
          </w:p>
        </w:tc>
        <w:tc>
          <w:tcPr>
            <w:tcW w:w="2305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Инфекционная диарея</w:t>
            </w:r>
          </w:p>
        </w:tc>
        <w:tc>
          <w:tcPr>
            <w:tcW w:w="4076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Неинфекционная диарея</w:t>
            </w:r>
          </w:p>
        </w:tc>
      </w:tr>
      <w:tr w:rsidR="00D43036" w:rsidRPr="00D43036" w:rsidTr="00D57245">
        <w:tc>
          <w:tcPr>
            <w:tcW w:w="3190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Эпидемиологический анамнез</w:t>
            </w:r>
          </w:p>
        </w:tc>
        <w:tc>
          <w:tcPr>
            <w:tcW w:w="2305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Отягощен</w:t>
            </w:r>
          </w:p>
        </w:tc>
        <w:tc>
          <w:tcPr>
            <w:tcW w:w="4076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Не отягощен</w:t>
            </w:r>
          </w:p>
        </w:tc>
      </w:tr>
      <w:tr w:rsidR="00D43036" w:rsidRPr="00D43036" w:rsidTr="00D57245">
        <w:tc>
          <w:tcPr>
            <w:tcW w:w="3190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Связь с нарушением диеты</w:t>
            </w:r>
          </w:p>
        </w:tc>
        <w:tc>
          <w:tcPr>
            <w:tcW w:w="2305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6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D43036" w:rsidRPr="00D43036" w:rsidTr="00D57245">
        <w:tc>
          <w:tcPr>
            <w:tcW w:w="3190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Лихорадка</w:t>
            </w:r>
          </w:p>
        </w:tc>
        <w:tc>
          <w:tcPr>
            <w:tcW w:w="2305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Может быть</w:t>
            </w:r>
          </w:p>
        </w:tc>
        <w:tc>
          <w:tcPr>
            <w:tcW w:w="4076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Может быть при язвенном колите, болезни Крона</w:t>
            </w:r>
          </w:p>
        </w:tc>
      </w:tr>
      <w:tr w:rsidR="00D43036" w:rsidRPr="00D43036" w:rsidTr="00D57245">
        <w:tc>
          <w:tcPr>
            <w:tcW w:w="3190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Снижение массы тела</w:t>
            </w:r>
          </w:p>
        </w:tc>
        <w:tc>
          <w:tcPr>
            <w:tcW w:w="2305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6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 xml:space="preserve">Встречается при синдроме </w:t>
            </w:r>
            <w:proofErr w:type="spellStart"/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мальабсорбции</w:t>
            </w:r>
            <w:proofErr w:type="spellEnd"/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, болезни Крона, язвенном колите</w:t>
            </w:r>
          </w:p>
        </w:tc>
      </w:tr>
      <w:tr w:rsidR="00D43036" w:rsidRPr="00D43036" w:rsidTr="00D57245">
        <w:tc>
          <w:tcPr>
            <w:tcW w:w="3190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Кровь в стуле</w:t>
            </w:r>
          </w:p>
        </w:tc>
        <w:tc>
          <w:tcPr>
            <w:tcW w:w="2305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Может быть при дизентерии, сальмонеллезе</w:t>
            </w:r>
          </w:p>
        </w:tc>
        <w:tc>
          <w:tcPr>
            <w:tcW w:w="4076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Может быть при болезни Крона, язвенном колите, опухоли</w:t>
            </w:r>
          </w:p>
        </w:tc>
      </w:tr>
      <w:tr w:rsidR="00D43036" w:rsidRPr="00D43036" w:rsidTr="00D57245">
        <w:tc>
          <w:tcPr>
            <w:tcW w:w="3190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Симптомы интоксикации</w:t>
            </w:r>
          </w:p>
        </w:tc>
        <w:tc>
          <w:tcPr>
            <w:tcW w:w="2305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  <w:tc>
          <w:tcPr>
            <w:tcW w:w="4076" w:type="dxa"/>
          </w:tcPr>
          <w:p w:rsidR="00D43036" w:rsidRPr="00D43036" w:rsidRDefault="00D43036" w:rsidP="00D43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36">
              <w:rPr>
                <w:rFonts w:ascii="Times New Roman" w:hAnsi="Times New Roman" w:cs="Times New Roman"/>
                <w:sz w:val="24"/>
                <w:szCs w:val="24"/>
              </w:rPr>
              <w:t>При выраженных водно-электролитных нарушениях</w:t>
            </w:r>
          </w:p>
        </w:tc>
      </w:tr>
    </w:tbl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>При проведении дифференциальной диагностики все заболевания неинфекционного генеза, сопровождающиеся диареями, условно можно разделить на две большие группы: диареи при воспалительных заболеваниях кишечника и синдроме нарушенного переваривания и всасывания (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мальабсорбция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). Для каждой из этих групп свойственен определенный характер стула. При воспалительных заболеваниях толстой кишки стул чаще кашицеобразный, реже жидкий. При обострении заболевания он становится частым, нередко появляется в ночное время. Типично наличие слизи, крови, гноя. При синдроме нарушенного переваривания и всасывания стул чаще жидкий или кашицеобразный, он может быть обильным,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непереваренным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>, пенистым, «блестящим», с запахом (зловонным, кислым, затхлым и т. д.).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При сочетании диареи с абдоминальным синдромом необходимо уточнить характер абдоминального синдрома (схваткообразные, тупые, ноющие боли). Нередко подобные симптомы типичны для синдрома раздраженной кишки, чаще наблюдающиеся у детей с неустойчивой психикой, с последствиями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постгипоксического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поражения ЦНС. </w:t>
      </w:r>
      <w:r w:rsidRPr="00D43036">
        <w:rPr>
          <w:rFonts w:ascii="Times New Roman" w:hAnsi="Times New Roman" w:cs="Times New Roman"/>
          <w:sz w:val="24"/>
          <w:szCs w:val="24"/>
        </w:rPr>
        <w:lastRenderedPageBreak/>
        <w:t xml:space="preserve">Появление абдоминального синдрома в сочетании с метеоризмом и обильным пенистым стулом с кислым запахом на фоне приема молочных продуктов характерно для аллергии к белкам коровьего молока,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лактазной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недостаточности. Сочетание диареи с повторной рвотой может быть при аллергии к белкам коровьего молока, аномалиях развития кишечника. Сочетание высыпаний на коже и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диарейного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синдрома встречается при аллергии к белкам коровьего молока, дерматите.</w:t>
      </w:r>
    </w:p>
    <w:p w:rsidR="00D43036" w:rsidRPr="00D43036" w:rsidRDefault="00D43036" w:rsidP="00FE49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b/>
          <w:sz w:val="24"/>
          <w:szCs w:val="24"/>
        </w:rPr>
        <w:t>Подходы к лечению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В лечебном питании необходимо обеспечить максимальное механическое и химическое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щажение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слизистой оболочки кишечника, препятствовать бродильным и гнилостным процессам, уменьшить воспалительное состояние слизистой оболочки кишечника.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В диете ограничивается содержание жиров и углеводов; содержание белка нормальное или несколько повышенное. Диета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гипохлоридная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, с резким ограничением механических и химических раздражителей слизистой оболочки желудочно-кишечного тракта. Исключаются продукты и блюда, усиливающие процессы брожения и гниения в кишечнике, в частности молоко, грубая клетчатка, кислые фрукты и ягоды, пряности и все блюда, стимулирующие желчеотделение, секрецию желудка и поджелудочной железы. Все блюда протертые, готовятся в вареном виде или на пару. 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С улучшением функционального состояния кишечника, исчезновением диспепсических явлений и улучшением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копрологических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данных диету постепенно расширяют.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Детям старше 1 года – стол № 4 в протертом виде с </w:t>
      </w:r>
      <w:proofErr w:type="spellStart"/>
      <w:proofErr w:type="gramStart"/>
      <w:r w:rsidRPr="00D43036">
        <w:rPr>
          <w:rFonts w:ascii="Times New Roman" w:hAnsi="Times New Roman" w:cs="Times New Roman"/>
          <w:sz w:val="24"/>
          <w:szCs w:val="24"/>
        </w:rPr>
        <w:t>кисло-молочными</w:t>
      </w:r>
      <w:proofErr w:type="spellEnd"/>
      <w:proofErr w:type="gramEnd"/>
      <w:r w:rsidRPr="00D43036">
        <w:rPr>
          <w:rFonts w:ascii="Times New Roman" w:hAnsi="Times New Roman" w:cs="Times New Roman"/>
          <w:sz w:val="24"/>
          <w:szCs w:val="24"/>
        </w:rPr>
        <w:t xml:space="preserve"> продуктами, при тяжелых и среднетяжелых степенях уменьшить объём питания на 30-50%. Старше 1 года с 3-его дня вводим творог, фарш.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В целях патогенетической терапии применяется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регидратационная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терапия. Ее проводят в целях восстановления водно-электролитного и кислотно-основного состояния, одновременно она оказывает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детоксицирующее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действие.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Регидратацию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в основном осуществляют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полиионными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кристаллоидными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растворами («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Регидрон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Трисоль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Квартасоль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Хлосоль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Ацесоль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»). Доказана нецелесообразность использования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моноионных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растворов (изотонический раствор натрия хлорида, 5 % раствор глюкозы). Коллоидные растворы можно использовать в целях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дезинтоксикации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лишь при отсутствии обезвоживания. 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>Дополнительно можно использовать слабо заваренный чай с лимоном, овощные и крупяные отвары (морковный, рисовый, минеральную воду).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lastRenderedPageBreak/>
        <w:t xml:space="preserve">В качестве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этиотропной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терапии при проявлениях гастрита промывают желудок изотоническим раствором 0,9% натрия хлорида температурой 35-36</w:t>
      </w:r>
      <w:proofErr w:type="gramStart"/>
      <w:r w:rsidRPr="00D43036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D43036">
        <w:rPr>
          <w:rFonts w:ascii="Times New Roman" w:hAnsi="Times New Roman" w:cs="Times New Roman"/>
          <w:sz w:val="24"/>
          <w:szCs w:val="24"/>
        </w:rPr>
        <w:t xml:space="preserve">, порциями 5-10 мл/кг до чистых промывных вод. Применяется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антибиотикотерапия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>.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>Абсолютные показания:</w:t>
      </w:r>
    </w:p>
    <w:p w:rsidR="00D43036" w:rsidRPr="00D43036" w:rsidRDefault="00D43036" w:rsidP="00D43036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инвазивная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диарея</w:t>
      </w:r>
    </w:p>
    <w:p w:rsidR="00D43036" w:rsidRPr="00D43036" w:rsidRDefault="00D43036" w:rsidP="00D43036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>при тяжелой степени</w:t>
      </w:r>
    </w:p>
    <w:p w:rsidR="00D43036" w:rsidRPr="00D43036" w:rsidRDefault="00D43036" w:rsidP="00D43036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>при заболеваниях: холера, брюшной тиф, дизентерийная амеба, генерализация процесса</w:t>
      </w:r>
    </w:p>
    <w:p w:rsidR="00D43036" w:rsidRPr="00D43036" w:rsidRDefault="00D43036" w:rsidP="00D43036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>при легкой степени детям до 1 года и детям «группы риска»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Антибиотикотерапия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не показана при:</w:t>
      </w:r>
    </w:p>
    <w:p w:rsidR="00D43036" w:rsidRPr="00D43036" w:rsidRDefault="00D43036" w:rsidP="00D43036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03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43036">
        <w:rPr>
          <w:rFonts w:ascii="Times New Roman" w:hAnsi="Times New Roman" w:cs="Times New Roman"/>
          <w:sz w:val="24"/>
          <w:szCs w:val="24"/>
        </w:rPr>
        <w:t xml:space="preserve"> секреторной диареи</w:t>
      </w:r>
    </w:p>
    <w:p w:rsidR="00D43036" w:rsidRPr="00D43036" w:rsidRDefault="00D43036" w:rsidP="00D43036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субклинической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форме и носительстве (бактериальном носительстве)</w:t>
      </w:r>
    </w:p>
    <w:p w:rsidR="00D43036" w:rsidRPr="00D43036" w:rsidRDefault="00D43036" w:rsidP="00D43036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>при постинфекционных дисфункциях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Антибиотикотерапия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1 группа «стартовая» - препараты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нитрофурана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. Наиболее эффективен и безопасен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Энтерофурин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>.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2 группа «резерва» -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Супракс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Цефимиксим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) – полусинтетический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цефалоспориновый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антибиотик </w:t>
      </w:r>
      <w:r w:rsidRPr="00D4303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43036">
        <w:rPr>
          <w:rFonts w:ascii="Times New Roman" w:hAnsi="Times New Roman" w:cs="Times New Roman"/>
          <w:sz w:val="24"/>
          <w:szCs w:val="24"/>
        </w:rPr>
        <w:t xml:space="preserve"> поколения.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>Методы введения:</w:t>
      </w:r>
    </w:p>
    <w:p w:rsidR="00D43036" w:rsidRPr="00D43036" w:rsidRDefault="00D43036" w:rsidP="00D43036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пероральный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– стартовая –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деконтаминация</w:t>
      </w:r>
      <w:proofErr w:type="spellEnd"/>
    </w:p>
    <w:p w:rsidR="00D43036" w:rsidRPr="00D43036" w:rsidRDefault="00D43036" w:rsidP="00D43036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036">
        <w:rPr>
          <w:rFonts w:ascii="Times New Roman" w:hAnsi="Times New Roman" w:cs="Times New Roman"/>
          <w:sz w:val="24"/>
          <w:szCs w:val="24"/>
        </w:rPr>
        <w:t>парентеральный</w:t>
      </w:r>
      <w:proofErr w:type="gramEnd"/>
      <w:r w:rsidRPr="00D4303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генерализованная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форма</w:t>
      </w:r>
    </w:p>
    <w:p w:rsidR="00D43036" w:rsidRPr="00D43036" w:rsidRDefault="00D43036" w:rsidP="00D43036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ректальный –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колитический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синдром, дистальный колит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антибиотикотерапии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– 5 дней, максимум 5-7 дней. Эффективность оцениваем через 48-72 часа.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Применяются специфические бактериофаги. Курс лечения – 5-7 дней, через 4-5 дней повторный курс. Принимать за 1-2 часа до еды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перорально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орально-ректально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>.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>Показания:</w:t>
      </w:r>
    </w:p>
    <w:p w:rsidR="00D43036" w:rsidRPr="00D43036" w:rsidRDefault="00D43036" w:rsidP="00D43036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>стертые и легкие формы острой кишечной инфекции</w:t>
      </w:r>
    </w:p>
    <w:p w:rsidR="00D43036" w:rsidRPr="00D43036" w:rsidRDefault="00D43036" w:rsidP="00D43036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среднетяжелые формы в комбинации с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антибиотикотерапией</w:t>
      </w:r>
      <w:proofErr w:type="spellEnd"/>
    </w:p>
    <w:p w:rsidR="00D43036" w:rsidRPr="00D43036" w:rsidRDefault="00D43036" w:rsidP="00D43036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антибиотикотерапии</w:t>
      </w:r>
      <w:proofErr w:type="spellEnd"/>
    </w:p>
    <w:p w:rsidR="00D43036" w:rsidRPr="00D43036" w:rsidRDefault="00D43036" w:rsidP="00D43036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>повторное бактериальное выделение</w:t>
      </w:r>
    </w:p>
    <w:p w:rsidR="00D43036" w:rsidRPr="00D43036" w:rsidRDefault="00D43036" w:rsidP="00D43036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постинфекцонный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дисбиоз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с ростом протея и других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Энтеросорбенты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– стартовая терапия </w:t>
      </w:r>
      <w:proofErr w:type="gramStart"/>
      <w:r w:rsidRPr="00D4303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43036">
        <w:rPr>
          <w:rFonts w:ascii="Times New Roman" w:hAnsi="Times New Roman" w:cs="Times New Roman"/>
          <w:sz w:val="24"/>
          <w:szCs w:val="24"/>
        </w:rPr>
        <w:t xml:space="preserve"> секреторной диареи. Препарат выбора –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Смекта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, включают в ранние сроки даже с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антибиотикотерапией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. Алюминиевый и </w:t>
      </w:r>
      <w:r w:rsidRPr="00D43036">
        <w:rPr>
          <w:rFonts w:ascii="Times New Roman" w:hAnsi="Times New Roman" w:cs="Times New Roman"/>
          <w:sz w:val="24"/>
          <w:szCs w:val="24"/>
        </w:rPr>
        <w:lastRenderedPageBreak/>
        <w:t xml:space="preserve">магниевый силикат обладает обволакивающей способностью, усиливает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резистентность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слизистой оболочки ЖКТ к действию раздражителей, увеличивает количество слизи и улучшает её качество. Также применяют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Энтеродез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Полисорб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Энтеросгель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>.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>Биопрепараты (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пробиотики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) назначаются при легких формах ОКИ, среднетяжелых формах ОКИ независимо от этиологии и топики поражения. 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1 группа – биопрепараты, представители нормальной кишечной микрофлоры. К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монокомпонентам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относятся: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Бифидумбактерин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Лактобактерин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. Наиболее эффективен препарат –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номобакт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</w:t>
      </w:r>
      <w:r w:rsidRPr="00D4303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43036">
        <w:rPr>
          <w:rFonts w:ascii="Times New Roman" w:hAnsi="Times New Roman" w:cs="Times New Roman"/>
          <w:sz w:val="24"/>
          <w:szCs w:val="24"/>
        </w:rPr>
        <w:t xml:space="preserve">, он обладает максимальной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адгезивной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способностью, эффективно прикрепляется к эпителию слизистой оболочки кишечника, колонизирует её и вытесняет патологическую микрофлору. Хорошо зарекомендовал себя –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Линекс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>.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2 группа – биопрепараты, не представляющие нормальную микрофлору, которые обладают терапевтическим действием. К таким препаратам относятся –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Энтерол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Бактисубтил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Энтерол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обладает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антогонистической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активностью в отношении патогенных и условно-патогенных микробов (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клостридий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шигелл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, стафилококков и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D43036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D43036">
        <w:rPr>
          <w:rFonts w:ascii="Times New Roman" w:hAnsi="Times New Roman" w:cs="Times New Roman"/>
          <w:sz w:val="24"/>
          <w:szCs w:val="24"/>
        </w:rPr>
        <w:t xml:space="preserve">), а также простейших (амёб,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лямблий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), усиливает местную иммунную защиту слизистой кишечника вследствие выработки иммуноглобулинов А.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Бактисубтил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обладает антагонистической активностью в отношении патогенных и условно-патогенных микробов. Способен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лизировать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патогенетический стафилококк, кишечную палочку, стимулирует рост лакто – и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бифидофлоры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>.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Ферментотерапия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проводится  курсом 2-4 недели. Применяют препараты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Креон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Мезим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>, Панкреатин.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В качестве иммунотерапии используются комплексные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иммуноглобулиновые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препараты, характеризующиеся повышенной концентрацией антител к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энтеробактериям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и другим грамм отрицательным микроорганизмам.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36">
        <w:rPr>
          <w:rFonts w:ascii="Times New Roman" w:hAnsi="Times New Roman" w:cs="Times New Roman"/>
          <w:sz w:val="24"/>
          <w:szCs w:val="24"/>
        </w:rPr>
        <w:t xml:space="preserve">Симптоматическая терапия – применение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пробиотиков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пребиотиков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спазмолитиков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43036">
        <w:rPr>
          <w:rFonts w:ascii="Times New Roman" w:hAnsi="Times New Roman" w:cs="Times New Roman"/>
          <w:sz w:val="24"/>
          <w:szCs w:val="24"/>
        </w:rPr>
        <w:t>противорвотных</w:t>
      </w:r>
      <w:proofErr w:type="gramEnd"/>
      <w:r w:rsidRPr="00D430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Пробиотики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– препараты, состоящие из живых микроорганизмов или продуктов микробного происхождения, которые способствуют восстановлению нормального состава микрофлоры кишечника.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Пребиотики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-  вещества, немикробного происхождения, стимулирующие рост, развитие и метаболизм нормальной микрофлоры. К ним относятся: отруби, пектины, пантотеновая кислота. Из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спазмолитиков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применяются –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Дюспатамин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Мебеверин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Дротаверин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(Но-шпа) – 0,1 мл на год жизни. Из противорвотных – 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Церукал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3036">
        <w:rPr>
          <w:rFonts w:ascii="Times New Roman" w:hAnsi="Times New Roman" w:cs="Times New Roman"/>
          <w:sz w:val="24"/>
          <w:szCs w:val="24"/>
        </w:rPr>
        <w:t>Метоклопрамид</w:t>
      </w:r>
      <w:proofErr w:type="spellEnd"/>
      <w:r w:rsidRPr="00D43036">
        <w:rPr>
          <w:rFonts w:ascii="Times New Roman" w:hAnsi="Times New Roman" w:cs="Times New Roman"/>
          <w:sz w:val="24"/>
          <w:szCs w:val="24"/>
        </w:rPr>
        <w:t xml:space="preserve">) – 5% раствор, 0,1 мл/кг. </w:t>
      </w:r>
    </w:p>
    <w:p w:rsidR="00965EA2" w:rsidRDefault="00965EA2" w:rsidP="00D435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036" w:rsidRDefault="00D43036" w:rsidP="00D435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036" w:rsidRPr="00F04C40" w:rsidRDefault="00D43036" w:rsidP="00D435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C21" w:rsidRPr="005D2C21" w:rsidRDefault="005D2C21" w:rsidP="00FA5E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05645">
        <w:rPr>
          <w:rFonts w:ascii="Times New Roman" w:hAnsi="Times New Roman" w:cs="Times New Roman"/>
          <w:b/>
          <w:sz w:val="24"/>
        </w:rPr>
        <w:lastRenderedPageBreak/>
        <w:t>Список литературы</w:t>
      </w:r>
    </w:p>
    <w:p w:rsidR="00D43036" w:rsidRDefault="006A2AC0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2C21">
        <w:rPr>
          <w:rFonts w:ascii="Times New Roman" w:hAnsi="Times New Roman" w:cs="Times New Roman"/>
          <w:sz w:val="24"/>
          <w:szCs w:val="24"/>
        </w:rPr>
        <w:t>.</w:t>
      </w:r>
      <w:r w:rsidR="00FA5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036" w:rsidRPr="00D43036">
        <w:rPr>
          <w:rFonts w:ascii="Times New Roman" w:hAnsi="Times New Roman" w:cs="Times New Roman"/>
          <w:sz w:val="24"/>
          <w:szCs w:val="24"/>
        </w:rPr>
        <w:t>Валишин</w:t>
      </w:r>
      <w:proofErr w:type="spellEnd"/>
      <w:r w:rsidR="00D43036">
        <w:rPr>
          <w:rFonts w:ascii="Times New Roman" w:hAnsi="Times New Roman" w:cs="Times New Roman"/>
          <w:sz w:val="24"/>
          <w:szCs w:val="24"/>
        </w:rPr>
        <w:t xml:space="preserve"> </w:t>
      </w:r>
      <w:r w:rsidR="00D43036" w:rsidRPr="00D43036">
        <w:rPr>
          <w:rFonts w:ascii="Times New Roman" w:hAnsi="Times New Roman" w:cs="Times New Roman"/>
          <w:sz w:val="24"/>
          <w:szCs w:val="24"/>
        </w:rPr>
        <w:t xml:space="preserve">Д.А., </w:t>
      </w:r>
      <w:proofErr w:type="spellStart"/>
      <w:r w:rsidR="00D43036" w:rsidRPr="00D43036">
        <w:rPr>
          <w:rFonts w:ascii="Times New Roman" w:hAnsi="Times New Roman" w:cs="Times New Roman"/>
          <w:sz w:val="24"/>
          <w:szCs w:val="24"/>
        </w:rPr>
        <w:t>Просвиркина</w:t>
      </w:r>
      <w:proofErr w:type="spellEnd"/>
      <w:r w:rsidR="00D43036">
        <w:rPr>
          <w:rFonts w:ascii="Times New Roman" w:hAnsi="Times New Roman" w:cs="Times New Roman"/>
          <w:sz w:val="24"/>
          <w:szCs w:val="24"/>
        </w:rPr>
        <w:t xml:space="preserve"> </w:t>
      </w:r>
      <w:r w:rsidR="00D43036" w:rsidRPr="00D43036">
        <w:rPr>
          <w:rFonts w:ascii="Times New Roman" w:hAnsi="Times New Roman" w:cs="Times New Roman"/>
          <w:sz w:val="24"/>
          <w:szCs w:val="24"/>
        </w:rPr>
        <w:t xml:space="preserve">Т.Д., </w:t>
      </w:r>
      <w:proofErr w:type="spellStart"/>
      <w:r w:rsidR="00D43036" w:rsidRPr="00D43036">
        <w:rPr>
          <w:rFonts w:ascii="Times New Roman" w:hAnsi="Times New Roman" w:cs="Times New Roman"/>
          <w:sz w:val="24"/>
          <w:szCs w:val="24"/>
        </w:rPr>
        <w:t>Ларшутин</w:t>
      </w:r>
      <w:proofErr w:type="spellEnd"/>
      <w:r w:rsidR="00D43036">
        <w:rPr>
          <w:rFonts w:ascii="Times New Roman" w:hAnsi="Times New Roman" w:cs="Times New Roman"/>
          <w:sz w:val="24"/>
          <w:szCs w:val="24"/>
        </w:rPr>
        <w:t xml:space="preserve"> </w:t>
      </w:r>
      <w:r w:rsidR="00D43036" w:rsidRPr="00D43036">
        <w:rPr>
          <w:rFonts w:ascii="Times New Roman" w:hAnsi="Times New Roman" w:cs="Times New Roman"/>
          <w:sz w:val="24"/>
          <w:szCs w:val="24"/>
        </w:rPr>
        <w:t xml:space="preserve">С.А., </w:t>
      </w:r>
      <w:proofErr w:type="spellStart"/>
      <w:r w:rsidR="00D43036" w:rsidRPr="00D43036">
        <w:rPr>
          <w:rFonts w:ascii="Times New Roman" w:hAnsi="Times New Roman" w:cs="Times New Roman"/>
          <w:sz w:val="24"/>
          <w:szCs w:val="24"/>
        </w:rPr>
        <w:t>Хабелова</w:t>
      </w:r>
      <w:proofErr w:type="spellEnd"/>
      <w:r w:rsidR="00D43036" w:rsidRPr="00D43036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="00D43036" w:rsidRPr="00D43036">
        <w:rPr>
          <w:rFonts w:ascii="Times New Roman" w:hAnsi="Times New Roman" w:cs="Times New Roman"/>
          <w:sz w:val="24"/>
          <w:szCs w:val="24"/>
        </w:rPr>
        <w:t>Кутуев</w:t>
      </w:r>
      <w:proofErr w:type="spellEnd"/>
      <w:r w:rsidR="00D43036">
        <w:rPr>
          <w:rFonts w:ascii="Times New Roman" w:hAnsi="Times New Roman" w:cs="Times New Roman"/>
          <w:sz w:val="24"/>
          <w:szCs w:val="24"/>
        </w:rPr>
        <w:t xml:space="preserve"> </w:t>
      </w:r>
      <w:r w:rsidR="00D43036" w:rsidRPr="00D43036">
        <w:rPr>
          <w:rFonts w:ascii="Times New Roman" w:hAnsi="Times New Roman" w:cs="Times New Roman"/>
          <w:sz w:val="24"/>
          <w:szCs w:val="24"/>
        </w:rPr>
        <w:t>О.И.. Острые кишечные инфекции в практике врача-педиатра: учеб. О-77 пособие: - Уфа: ФГБОУ ВО БГМУ, 2020 - 86 с.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43036">
        <w:rPr>
          <w:rFonts w:ascii="Times New Roman" w:hAnsi="Times New Roman" w:cs="Times New Roman"/>
          <w:sz w:val="24"/>
          <w:szCs w:val="24"/>
        </w:rPr>
        <w:t>Казанцев А.П., Зубик Т.М., Иванов К.С. и др. Дифференциальная диагностика инфекционных болезней. – М.: ООО «Медицинское информационное агентство», 2018 – 482с.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43036">
        <w:rPr>
          <w:rFonts w:ascii="Times New Roman" w:hAnsi="Times New Roman" w:cs="Times New Roman"/>
          <w:sz w:val="24"/>
          <w:szCs w:val="24"/>
        </w:rPr>
        <w:t xml:space="preserve">Инфекционные диареи - [Электронный ресурс]. - Режим доступа: https://www.rmj.ru/articles/infektsionnye_bolezni/Infekcionnye_diarei/ (Дата обращения </w:t>
      </w:r>
      <w:r>
        <w:rPr>
          <w:rFonts w:ascii="Times New Roman" w:hAnsi="Times New Roman" w:cs="Times New Roman"/>
          <w:sz w:val="24"/>
          <w:szCs w:val="24"/>
        </w:rPr>
        <w:t>10.05</w:t>
      </w:r>
      <w:r w:rsidRPr="00D43036">
        <w:rPr>
          <w:rFonts w:ascii="Times New Roman" w:hAnsi="Times New Roman" w:cs="Times New Roman"/>
          <w:sz w:val="24"/>
          <w:szCs w:val="24"/>
        </w:rPr>
        <w:t>.2023)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43036">
        <w:rPr>
          <w:rFonts w:ascii="Times New Roman" w:hAnsi="Times New Roman" w:cs="Times New Roman"/>
          <w:sz w:val="24"/>
          <w:szCs w:val="24"/>
        </w:rPr>
        <w:t xml:space="preserve">Острая инфекционная диарея у детей - [Электронный ресурс]. - Режим доступа: https://remedium.ru/doctor/infectious/ostraya-infektsionnaya-diareya-u-detey/ </w:t>
      </w:r>
      <w:r>
        <w:rPr>
          <w:rFonts w:ascii="Times New Roman" w:hAnsi="Times New Roman" w:cs="Times New Roman"/>
          <w:sz w:val="24"/>
          <w:szCs w:val="24"/>
        </w:rPr>
        <w:t>(Дата обращения 10.05</w:t>
      </w:r>
      <w:r w:rsidRPr="00D43036">
        <w:rPr>
          <w:rFonts w:ascii="Times New Roman" w:hAnsi="Times New Roman" w:cs="Times New Roman"/>
          <w:sz w:val="24"/>
          <w:szCs w:val="24"/>
        </w:rPr>
        <w:t>.2023)</w:t>
      </w:r>
    </w:p>
    <w:p w:rsidR="00D43036" w:rsidRPr="00D43036" w:rsidRDefault="00D43036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43036">
        <w:rPr>
          <w:rFonts w:ascii="Times New Roman" w:hAnsi="Times New Roman" w:cs="Times New Roman"/>
          <w:sz w:val="24"/>
          <w:szCs w:val="24"/>
        </w:rPr>
        <w:t xml:space="preserve">Острые кишечные инфекции у детей: классификация по типу диареи и основные направления комплексной терапии - [Электронный ресурс]. - Режим доступа: https://medi.ru/info/1769/ </w:t>
      </w:r>
      <w:r>
        <w:rPr>
          <w:rFonts w:ascii="Times New Roman" w:hAnsi="Times New Roman" w:cs="Times New Roman"/>
          <w:sz w:val="24"/>
          <w:szCs w:val="24"/>
        </w:rPr>
        <w:t>(Дата обращения 10.05</w:t>
      </w:r>
      <w:r w:rsidRPr="00D43036">
        <w:rPr>
          <w:rFonts w:ascii="Times New Roman" w:hAnsi="Times New Roman" w:cs="Times New Roman"/>
          <w:sz w:val="24"/>
          <w:szCs w:val="24"/>
        </w:rPr>
        <w:t>.2023)</w:t>
      </w:r>
    </w:p>
    <w:p w:rsidR="00D4351D" w:rsidRDefault="00D4351D" w:rsidP="00D43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4351D" w:rsidSect="007B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1D5"/>
    <w:multiLevelType w:val="hybridMultilevel"/>
    <w:tmpl w:val="B37AC60C"/>
    <w:lvl w:ilvl="0" w:tplc="BA70F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4F1043"/>
    <w:multiLevelType w:val="hybridMultilevel"/>
    <w:tmpl w:val="27820C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973F25"/>
    <w:multiLevelType w:val="hybridMultilevel"/>
    <w:tmpl w:val="80CA3E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1CB6678"/>
    <w:multiLevelType w:val="hybridMultilevel"/>
    <w:tmpl w:val="7A022A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E00FBB"/>
    <w:multiLevelType w:val="hybridMultilevel"/>
    <w:tmpl w:val="5FAC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B17D6"/>
    <w:multiLevelType w:val="hybridMultilevel"/>
    <w:tmpl w:val="2B0267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E579EC"/>
    <w:multiLevelType w:val="hybridMultilevel"/>
    <w:tmpl w:val="461898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A547D7"/>
    <w:multiLevelType w:val="hybridMultilevel"/>
    <w:tmpl w:val="9FBC6C58"/>
    <w:lvl w:ilvl="0" w:tplc="BA70F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062A07"/>
    <w:multiLevelType w:val="hybridMultilevel"/>
    <w:tmpl w:val="2578C2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E9000D"/>
    <w:multiLevelType w:val="hybridMultilevel"/>
    <w:tmpl w:val="64B26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CB21B98"/>
    <w:multiLevelType w:val="hybridMultilevel"/>
    <w:tmpl w:val="8EDAE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050C0D"/>
    <w:multiLevelType w:val="hybridMultilevel"/>
    <w:tmpl w:val="041638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1566F4"/>
    <w:multiLevelType w:val="hybridMultilevel"/>
    <w:tmpl w:val="C7E8C9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D83E4F"/>
    <w:multiLevelType w:val="hybridMultilevel"/>
    <w:tmpl w:val="3EB896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390691E"/>
    <w:multiLevelType w:val="hybridMultilevel"/>
    <w:tmpl w:val="F9469A16"/>
    <w:lvl w:ilvl="0" w:tplc="BA70F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7DF3353"/>
    <w:multiLevelType w:val="hybridMultilevel"/>
    <w:tmpl w:val="7BE6CBE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38392377"/>
    <w:multiLevelType w:val="hybridMultilevel"/>
    <w:tmpl w:val="898AEC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BF212F"/>
    <w:multiLevelType w:val="hybridMultilevel"/>
    <w:tmpl w:val="A008CF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39605B0"/>
    <w:multiLevelType w:val="hybridMultilevel"/>
    <w:tmpl w:val="DBE2F7D8"/>
    <w:lvl w:ilvl="0" w:tplc="BA70F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BC1238"/>
    <w:multiLevelType w:val="hybridMultilevel"/>
    <w:tmpl w:val="3454C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120996"/>
    <w:multiLevelType w:val="hybridMultilevel"/>
    <w:tmpl w:val="BF92E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713423"/>
    <w:multiLevelType w:val="hybridMultilevel"/>
    <w:tmpl w:val="E62E15B6"/>
    <w:lvl w:ilvl="0" w:tplc="BA70F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ADE2F7B"/>
    <w:multiLevelType w:val="hybridMultilevel"/>
    <w:tmpl w:val="1960ECEC"/>
    <w:lvl w:ilvl="0" w:tplc="BA70F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C8E6F18"/>
    <w:multiLevelType w:val="hybridMultilevel"/>
    <w:tmpl w:val="F5206ABE"/>
    <w:lvl w:ilvl="0" w:tplc="BA70F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6D2628"/>
    <w:multiLevelType w:val="hybridMultilevel"/>
    <w:tmpl w:val="E946CD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42C266A"/>
    <w:multiLevelType w:val="hybridMultilevel"/>
    <w:tmpl w:val="D0C80370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6">
    <w:nsid w:val="65A41789"/>
    <w:multiLevelType w:val="hybridMultilevel"/>
    <w:tmpl w:val="2F1825BE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65BE013C"/>
    <w:multiLevelType w:val="hybridMultilevel"/>
    <w:tmpl w:val="ED4C0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CD3155"/>
    <w:multiLevelType w:val="hybridMultilevel"/>
    <w:tmpl w:val="A1BE8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3A5C04"/>
    <w:multiLevelType w:val="hybridMultilevel"/>
    <w:tmpl w:val="BF9067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3956AD4"/>
    <w:multiLevelType w:val="hybridMultilevel"/>
    <w:tmpl w:val="2E889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7A4118C"/>
    <w:multiLevelType w:val="hybridMultilevel"/>
    <w:tmpl w:val="912CA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B900ED2"/>
    <w:multiLevelType w:val="hybridMultilevel"/>
    <w:tmpl w:val="947AA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19"/>
  </w:num>
  <w:num w:numId="4">
    <w:abstractNumId w:val="3"/>
  </w:num>
  <w:num w:numId="5">
    <w:abstractNumId w:val="31"/>
  </w:num>
  <w:num w:numId="6">
    <w:abstractNumId w:val="17"/>
  </w:num>
  <w:num w:numId="7">
    <w:abstractNumId w:val="32"/>
  </w:num>
  <w:num w:numId="8">
    <w:abstractNumId w:val="20"/>
  </w:num>
  <w:num w:numId="9">
    <w:abstractNumId w:val="2"/>
  </w:num>
  <w:num w:numId="10">
    <w:abstractNumId w:val="21"/>
  </w:num>
  <w:num w:numId="11">
    <w:abstractNumId w:val="10"/>
  </w:num>
  <w:num w:numId="12">
    <w:abstractNumId w:val="0"/>
  </w:num>
  <w:num w:numId="13">
    <w:abstractNumId w:val="7"/>
  </w:num>
  <w:num w:numId="14">
    <w:abstractNumId w:val="18"/>
  </w:num>
  <w:num w:numId="15">
    <w:abstractNumId w:val="14"/>
  </w:num>
  <w:num w:numId="16">
    <w:abstractNumId w:val="30"/>
  </w:num>
  <w:num w:numId="17">
    <w:abstractNumId w:val="16"/>
  </w:num>
  <w:num w:numId="18">
    <w:abstractNumId w:val="9"/>
  </w:num>
  <w:num w:numId="19">
    <w:abstractNumId w:val="11"/>
  </w:num>
  <w:num w:numId="20">
    <w:abstractNumId w:val="23"/>
  </w:num>
  <w:num w:numId="21">
    <w:abstractNumId w:val="26"/>
  </w:num>
  <w:num w:numId="22">
    <w:abstractNumId w:val="25"/>
  </w:num>
  <w:num w:numId="23">
    <w:abstractNumId w:val="27"/>
  </w:num>
  <w:num w:numId="24">
    <w:abstractNumId w:val="28"/>
  </w:num>
  <w:num w:numId="25">
    <w:abstractNumId w:val="4"/>
  </w:num>
  <w:num w:numId="26">
    <w:abstractNumId w:val="15"/>
  </w:num>
  <w:num w:numId="27">
    <w:abstractNumId w:val="6"/>
  </w:num>
  <w:num w:numId="28">
    <w:abstractNumId w:val="8"/>
  </w:num>
  <w:num w:numId="29">
    <w:abstractNumId w:val="1"/>
  </w:num>
  <w:num w:numId="30">
    <w:abstractNumId w:val="24"/>
  </w:num>
  <w:num w:numId="31">
    <w:abstractNumId w:val="5"/>
  </w:num>
  <w:num w:numId="32">
    <w:abstractNumId w:val="22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36055"/>
    <w:rsid w:val="00045A5D"/>
    <w:rsid w:val="001078F0"/>
    <w:rsid w:val="00136055"/>
    <w:rsid w:val="001857DC"/>
    <w:rsid w:val="00201D1D"/>
    <w:rsid w:val="00367D14"/>
    <w:rsid w:val="003E0BF2"/>
    <w:rsid w:val="00432671"/>
    <w:rsid w:val="004B7D2D"/>
    <w:rsid w:val="00507710"/>
    <w:rsid w:val="005676B5"/>
    <w:rsid w:val="005D2C21"/>
    <w:rsid w:val="005D3588"/>
    <w:rsid w:val="006A2AC0"/>
    <w:rsid w:val="007B7511"/>
    <w:rsid w:val="00843550"/>
    <w:rsid w:val="00965EA2"/>
    <w:rsid w:val="00A40D36"/>
    <w:rsid w:val="00A4231D"/>
    <w:rsid w:val="00BA4783"/>
    <w:rsid w:val="00D43036"/>
    <w:rsid w:val="00D4351D"/>
    <w:rsid w:val="00D460E8"/>
    <w:rsid w:val="00DC2CC6"/>
    <w:rsid w:val="00DC75D8"/>
    <w:rsid w:val="00E12660"/>
    <w:rsid w:val="00EB290A"/>
    <w:rsid w:val="00F04C40"/>
    <w:rsid w:val="00F616AB"/>
    <w:rsid w:val="00FA5E60"/>
    <w:rsid w:val="00FE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6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3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32671"/>
    <w:rPr>
      <w:b/>
      <w:bCs/>
    </w:rPr>
  </w:style>
  <w:style w:type="table" w:styleId="a6">
    <w:name w:val="Table Grid"/>
    <w:basedOn w:val="a1"/>
    <w:uiPriority w:val="59"/>
    <w:rsid w:val="00432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3074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Перфильева</dc:creator>
  <cp:keywords/>
  <dc:description/>
  <cp:lastModifiedBy>Анна Перфильева</cp:lastModifiedBy>
  <cp:revision>12</cp:revision>
  <dcterms:created xsi:type="dcterms:W3CDTF">2023-02-19T06:38:00Z</dcterms:created>
  <dcterms:modified xsi:type="dcterms:W3CDTF">2023-05-13T02:32:00Z</dcterms:modified>
</cp:coreProperties>
</file>