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ХОЛЕРА: ПРИЧИНЫ, СИМПТОМЫ, ПРОФИЛАКТИКА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Перфильева Анна Владимировна,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136055" w:rsidRDefault="00136055" w:rsidP="001360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Холера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36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05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36055">
        <w:rPr>
          <w:rFonts w:ascii="Times New Roman" w:hAnsi="Times New Roman" w:cs="Times New Roman"/>
          <w:sz w:val="24"/>
          <w:szCs w:val="24"/>
        </w:rPr>
        <w:t xml:space="preserve"> острое инфекционное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диарейное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заболевание, которое представляет особую опасность для людей. Оно вызывается бактериями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cholerae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>.</w:t>
      </w:r>
      <w:r w:rsidRPr="00136055">
        <w:t xml:space="preserve"> </w:t>
      </w:r>
      <w:r w:rsidRPr="00136055">
        <w:rPr>
          <w:rFonts w:ascii="Times New Roman" w:hAnsi="Times New Roman" w:cs="Times New Roman"/>
          <w:sz w:val="24"/>
          <w:szCs w:val="24"/>
        </w:rPr>
        <w:t>Выделяемые им токсины поражают тонкую кишку, вызывая водянистую диарею и рвоту.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Холера имеет тенденцию к эпидемическому распространению и чаще встречается в Африке, Южной Америке и Индии, где вспышки заболевания носят регулярный характер. Случаи холеры на других территориях возникают, как правило, в результате завоза возбудителя заболевания из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районов, наводнений, нарушения санитарно-гигиенических норм и снижения санитарной культуры населения.</w:t>
      </w:r>
    </w:p>
    <w:p w:rsidR="00136055" w:rsidRPr="00136055" w:rsidRDefault="00136055" w:rsidP="001360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Этиология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Холера передается бытовым (грязные руки, предметы, посуда), пищевым и водным путем по фекально-оральному механизму. 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Резервуаром и источником инфекции является больной человек или транзиторный носитель инфекции. Наиболее активно выделяются бактерии </w:t>
      </w:r>
      <w:proofErr w:type="gramStart"/>
      <w:r w:rsidRPr="0013605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36055">
        <w:rPr>
          <w:rFonts w:ascii="Times New Roman" w:hAnsi="Times New Roman" w:cs="Times New Roman"/>
          <w:sz w:val="24"/>
          <w:szCs w:val="24"/>
        </w:rPr>
        <w:t xml:space="preserve"> дни с рвотными и фекальными массами. Тяжело выявить инфицированных лиц с легко протекающей холерой, однако они представляют опасность в плане заражения. </w:t>
      </w:r>
    </w:p>
    <w:p w:rsidR="00136055" w:rsidRP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>В очаге обнаружения холеры обследованию подвергаются все контактировавшие, вне зависимости от клинических проявлений. Заразность с течением времени уменьшается, и обычно к 3-й неделе происходит выздоровление и освобождение от бактерий. Однако в некоторых случаях носительство продолжается до года и более. Удлинению срока носительства способствуют сопутствующие инфекции.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В настоящее время особое место в передаче холеры отводится мухам. Водный путь (загрязненный источник воды) является наиболее распространенным. Холера является инфекцией с высокой восприимчивостью, наиболее легко происходит заражение людей с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гипоацидозом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>, некоторыми анемиями, зараженных гельминтами, злоупотребляющих алкоголем.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>Устойчивость во внешней среде у холерного вибриона высокая: в фекалиях он сохраняется до 150 дней; в выгребных ямах - до 106 дней; в почве - до 60 дней; на поверхности фруктов и овощей - до 4 дней. Кипячение убивает возбудителя мгновенно, при температуре 56</w:t>
      </w:r>
      <w:r w:rsidRPr="0013605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36055">
        <w:rPr>
          <w:rFonts w:ascii="Times New Roman" w:hAnsi="Times New Roman" w:cs="Times New Roman"/>
          <w:sz w:val="24"/>
          <w:szCs w:val="24"/>
        </w:rPr>
        <w:t>С погибает через 30 минут. Он также чувствителен к спирту и кислотам.</w:t>
      </w:r>
    </w:p>
    <w:p w:rsidR="00136055" w:rsidRPr="00136055" w:rsidRDefault="00136055" w:rsidP="001360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:rsidR="00136055" w:rsidRP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ворота инфекции –</w:t>
      </w:r>
      <w:r w:rsidRPr="00136055">
        <w:rPr>
          <w:rFonts w:ascii="Times New Roman" w:hAnsi="Times New Roman" w:cs="Times New Roman"/>
          <w:sz w:val="24"/>
          <w:szCs w:val="24"/>
        </w:rPr>
        <w:t xml:space="preserve"> пищеварительный тракт. При попадании в желудок холерные вибрионы частично гибнут. У человека с высокой кислотностью желудочного </w:t>
      </w:r>
      <w:r w:rsidRPr="00136055">
        <w:rPr>
          <w:rFonts w:ascii="Times New Roman" w:hAnsi="Times New Roman" w:cs="Times New Roman"/>
          <w:sz w:val="24"/>
          <w:szCs w:val="24"/>
        </w:rPr>
        <w:lastRenderedPageBreak/>
        <w:t>сока могут погибнуть все бактерии, благодаря чему он не заболевает. При нормальной иммунной системе заражающая доза составляет не менее 10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055">
        <w:rPr>
          <w:rFonts w:ascii="Times New Roman" w:hAnsi="Times New Roman" w:cs="Times New Roman"/>
          <w:sz w:val="24"/>
          <w:szCs w:val="24"/>
        </w:rPr>
        <w:t xml:space="preserve"> микробных тел.</w:t>
      </w:r>
    </w:p>
    <w:p w:rsidR="00136055" w:rsidRP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После преодоления желудочного барьера бактерии достигают тонкой кишки. С помощью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фимбрий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(ворсинок) они прикрепляются к эпителию кишечника, не проникая в него, начинают активно размножаться и выделять экзотоксин. Данный токсин вызывает массивное выделение воды и электролитов (натрия, калия, хлора) внутрь кишечника, сравнимое с потопом. Толстый кишечник не успевает всасывать всю жидкость обратно, в результате его тонус нарушается — начинается обильный понос водой с электролитами и рвота.</w:t>
      </w:r>
    </w:p>
    <w:p w:rsidR="00136055" w:rsidRDefault="00136055" w:rsidP="00136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055">
        <w:rPr>
          <w:rFonts w:ascii="Times New Roman" w:hAnsi="Times New Roman" w:cs="Times New Roman"/>
          <w:sz w:val="24"/>
          <w:szCs w:val="24"/>
        </w:rPr>
        <w:t xml:space="preserve">Из-за развивающегося обезвоживания объём циркулирующей крови снижается, её консистенция сгущается. Чтобы компенсировать возникшие изменения, жидкость из межклеточного пространства перемещается в сосудистое русло. Это ведёт к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(дальнейшему уменьшению объёма крови), нарушению кровообращения, </w:t>
      </w:r>
      <w:proofErr w:type="spellStart"/>
      <w:r w:rsidRPr="00136055">
        <w:rPr>
          <w:rFonts w:ascii="Times New Roman" w:hAnsi="Times New Roman" w:cs="Times New Roman"/>
          <w:sz w:val="24"/>
          <w:szCs w:val="24"/>
        </w:rPr>
        <w:t>дегидратационному</w:t>
      </w:r>
      <w:proofErr w:type="spellEnd"/>
      <w:r w:rsidRPr="00136055">
        <w:rPr>
          <w:rFonts w:ascii="Times New Roman" w:hAnsi="Times New Roman" w:cs="Times New Roman"/>
          <w:sz w:val="24"/>
          <w:szCs w:val="24"/>
        </w:rPr>
        <w:t xml:space="preserve"> шоку, острой почечной недостаточности и ацидозу (повышению уровня кислотности). Нарастает мышечная слабость, снижается тонус кишечника, нарушается работа сердечной мышцы, снижается выработка энергии. Низкая температура вместе с накопленной молочной кислотой приводят к судорогам. Если не остановить процесс и не восполнить объёмы утраченной жидкости и электролитов — наступает сосудистый коллапс (резкое падение артериального давления) и отказ работы внутренних органов, из-за чего пациент умирает</w:t>
      </w:r>
      <w:r w:rsidR="00432671">
        <w:rPr>
          <w:rFonts w:ascii="Times New Roman" w:hAnsi="Times New Roman" w:cs="Times New Roman"/>
          <w:sz w:val="24"/>
          <w:szCs w:val="24"/>
        </w:rPr>
        <w:t>.</w:t>
      </w:r>
    </w:p>
    <w:p w:rsidR="00432671" w:rsidRPr="00432671" w:rsidRDefault="00432671" w:rsidP="004326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По степени тяжести (степени обезвоживания):</w:t>
      </w:r>
    </w:p>
    <w:p w:rsidR="00432671" w:rsidRPr="00432671" w:rsidRDefault="00432671" w:rsidP="004326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лёгкая – происходит </w:t>
      </w:r>
      <w:r w:rsidRPr="00432671">
        <w:rPr>
          <w:rFonts w:ascii="Times New Roman" w:hAnsi="Times New Roman" w:cs="Times New Roman"/>
          <w:sz w:val="24"/>
          <w:szCs w:val="24"/>
        </w:rPr>
        <w:t>скопление токсинов, слабость и вялость минимальны, рвота и диарея возникают до 5 раз в сутки и сохраняются до 3 дней, видимой дегидратации (потери жидкости) и осложнений нет, длительность болезни не более 5 дней;</w:t>
      </w:r>
    </w:p>
    <w:p w:rsidR="00432671" w:rsidRPr="00432671" w:rsidRDefault="00432671" w:rsidP="004326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среднетяжёлая –</w:t>
      </w:r>
      <w:r w:rsidRPr="00432671">
        <w:rPr>
          <w:rFonts w:ascii="Times New Roman" w:hAnsi="Times New Roman" w:cs="Times New Roman"/>
          <w:sz w:val="24"/>
          <w:szCs w:val="24"/>
        </w:rPr>
        <w:t xml:space="preserve"> наблюдается умеренная интоксикация, диарея и рвота возникают до 15 раз в сутки и сохраняются не менее 3 дней, дегидратация 1-2 степени, возможны осложнения, длительность болезни не менее 5-7 дней;</w:t>
      </w:r>
    </w:p>
    <w:p w:rsidR="00432671" w:rsidRPr="00432671" w:rsidRDefault="00432671" w:rsidP="004326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тяжёлая (развивается в с</w:t>
      </w:r>
      <w:r>
        <w:rPr>
          <w:rFonts w:ascii="Times New Roman" w:hAnsi="Times New Roman" w:cs="Times New Roman"/>
          <w:sz w:val="24"/>
          <w:szCs w:val="24"/>
        </w:rPr>
        <w:t xml:space="preserve">реднем у 10 % всех заболевших) – интоксикация </w:t>
      </w:r>
      <w:r w:rsidRPr="00432671">
        <w:rPr>
          <w:rFonts w:ascii="Times New Roman" w:hAnsi="Times New Roman" w:cs="Times New Roman"/>
          <w:sz w:val="24"/>
          <w:szCs w:val="24"/>
        </w:rPr>
        <w:t>становится выраженной, диарея и рвота возникают до 20 раз в сутки и сохраняются более 3 дней, дегидратация 2-3 степени, развиваются осложнения, длительность болезни более недели;</w:t>
      </w:r>
    </w:p>
    <w:p w:rsidR="00432671" w:rsidRPr="00432671" w:rsidRDefault="00432671" w:rsidP="004326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тяжёлая –</w:t>
      </w:r>
      <w:r w:rsidRPr="00432671">
        <w:rPr>
          <w:rFonts w:ascii="Times New Roman" w:hAnsi="Times New Roman" w:cs="Times New Roman"/>
          <w:sz w:val="24"/>
          <w:szCs w:val="24"/>
        </w:rPr>
        <w:t xml:space="preserve"> характерно внезапное начало, неукротимая рвота и диарея в течение первых 12 часов от начала симптоматики приводят к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дегидратационному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 шоку.</w:t>
      </w:r>
    </w:p>
    <w:p w:rsidR="00136055" w:rsidRPr="00136055" w:rsidRDefault="00136055" w:rsidP="001360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Симптомы холеры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Инкубационный период холеры длится от нескольких часов до пяти суток. В среднем он составляет 1-3 дня.</w:t>
      </w: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Начинается болезнь всегда остро, внезапно. Основное, на что обязательно нужно обращать внимание — это нормальная температура тела и отсутствие болей в животе: </w:t>
      </w:r>
      <w:r w:rsidRPr="00432671">
        <w:rPr>
          <w:rFonts w:ascii="Times New Roman" w:hAnsi="Times New Roman" w:cs="Times New Roman"/>
          <w:sz w:val="24"/>
          <w:szCs w:val="24"/>
        </w:rPr>
        <w:lastRenderedPageBreak/>
        <w:t>вначале возникает только диарея (как правило, ночью или утром), рвота присоединяется позднее.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Жалобы больных почти всегда связаны с </w:t>
      </w:r>
      <w:r w:rsidRPr="00432671">
        <w:rPr>
          <w:rFonts w:ascii="Times New Roman" w:hAnsi="Times New Roman" w:cs="Times New Roman"/>
          <w:i/>
          <w:sz w:val="24"/>
          <w:szCs w:val="24"/>
        </w:rPr>
        <w:t>дегидратацией</w:t>
      </w:r>
      <w:r w:rsidRPr="00432671">
        <w:rPr>
          <w:rFonts w:ascii="Times New Roman" w:hAnsi="Times New Roman" w:cs="Times New Roman"/>
          <w:sz w:val="24"/>
          <w:szCs w:val="24"/>
        </w:rPr>
        <w:t xml:space="preserve">, т. е. потерей и недостатком жидкости в организме. 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Их беспокоит жажда, сухость во рту, осиплость голоса, ухудшение аппетита, тошнота, рвота (иногда фонтаном), вялость, слабость, адинамия, обильный водянистый стул.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болевых ощущений нет –</w:t>
      </w:r>
      <w:r w:rsidRPr="00432671">
        <w:rPr>
          <w:rFonts w:ascii="Times New Roman" w:hAnsi="Times New Roman" w:cs="Times New Roman"/>
          <w:sz w:val="24"/>
          <w:szCs w:val="24"/>
        </w:rPr>
        <w:t xml:space="preserve"> только урчание и неприятные ощущения в области пупка. Язык сухой, покрыт налётом цвета мела. Кожа и слизистые покровы бледные, сухие, упругость и эластичность кожи снижена. Уменьшается количество выделяемой мочи (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>), появляются судороги мышц.</w:t>
      </w:r>
    </w:p>
    <w:p w:rsidR="00432671" w:rsidRPr="00432671" w:rsidRDefault="00432671" w:rsidP="00432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671">
        <w:rPr>
          <w:rFonts w:ascii="Times New Roman" w:eastAsia="Times New Roman" w:hAnsi="Times New Roman" w:cs="Times New Roman"/>
          <w:sz w:val="24"/>
          <w:szCs w:val="24"/>
        </w:rPr>
        <w:t>Степень обезвоживания</w:t>
      </w:r>
    </w:p>
    <w:tbl>
      <w:tblPr>
        <w:tblStyle w:val="a6"/>
        <w:tblW w:w="0" w:type="auto"/>
        <w:tblLook w:val="04A0"/>
      </w:tblPr>
      <w:tblGrid>
        <w:gridCol w:w="1594"/>
        <w:gridCol w:w="1933"/>
        <w:gridCol w:w="5919"/>
      </w:tblGrid>
      <w:tr w:rsidR="00432671" w:rsidRPr="00432671" w:rsidTr="00794ED9">
        <w:tc>
          <w:tcPr>
            <w:tcW w:w="0" w:type="auto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Степень</w:t>
            </w: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дегидратации</w:t>
            </w:r>
          </w:p>
        </w:tc>
        <w:tc>
          <w:tcPr>
            <w:tcW w:w="1933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Процент</w:t>
            </w: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потерянной жидкости</w:t>
            </w: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(по отношению</w:t>
            </w: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к массе тела)</w:t>
            </w:r>
          </w:p>
        </w:tc>
        <w:tc>
          <w:tcPr>
            <w:tcW w:w="5919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Симптомы</w:t>
            </w:r>
          </w:p>
        </w:tc>
      </w:tr>
      <w:tr w:rsidR="00432671" w:rsidRPr="00432671" w:rsidTr="00794ED9">
        <w:tc>
          <w:tcPr>
            <w:tcW w:w="0" w:type="auto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</w:tc>
        <w:tc>
          <w:tcPr>
            <w:tcW w:w="1933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1-3 %</w:t>
            </w:r>
          </w:p>
        </w:tc>
        <w:tc>
          <w:tcPr>
            <w:tcW w:w="5919" w:type="dxa"/>
            <w:hideMark/>
          </w:tcPr>
          <w:p w:rsidR="00432671" w:rsidRPr="00432671" w:rsidRDefault="00432671" w:rsidP="00794ED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Наблюдается умеренная жажда и сухость слизистых оболочек, небольшая изменчивость пульса</w:t>
            </w:r>
          </w:p>
        </w:tc>
      </w:tr>
      <w:tr w:rsidR="00432671" w:rsidRPr="00432671" w:rsidTr="00794ED9">
        <w:tc>
          <w:tcPr>
            <w:tcW w:w="0" w:type="auto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II</w:t>
            </w:r>
          </w:p>
        </w:tc>
        <w:tc>
          <w:tcPr>
            <w:tcW w:w="1933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4-6 %</w:t>
            </w:r>
          </w:p>
        </w:tc>
        <w:tc>
          <w:tcPr>
            <w:tcW w:w="5919" w:type="dxa"/>
            <w:hideMark/>
          </w:tcPr>
          <w:p w:rsidR="00432671" w:rsidRPr="00432671" w:rsidRDefault="00432671" w:rsidP="00794ED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Жажда становится выраженной, кожа — сухой и бледной, иногда синюшной, её упругость и эластичность снижены, наступает резкая слабость, возникает охриплость голоса, судороги в икроножных мышцах, тахикардия и умеренное снижение артериального давления</w:t>
            </w:r>
          </w:p>
        </w:tc>
      </w:tr>
      <w:tr w:rsidR="00432671" w:rsidRPr="00432671" w:rsidTr="00794ED9">
        <w:tc>
          <w:tcPr>
            <w:tcW w:w="0" w:type="auto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III</w:t>
            </w:r>
          </w:p>
        </w:tc>
        <w:tc>
          <w:tcPr>
            <w:tcW w:w="1933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7-10 %</w:t>
            </w:r>
          </w:p>
        </w:tc>
        <w:tc>
          <w:tcPr>
            <w:tcW w:w="5919" w:type="dxa"/>
            <w:hideMark/>
          </w:tcPr>
          <w:p w:rsidR="00432671" w:rsidRPr="00432671" w:rsidRDefault="00432671" w:rsidP="00794ED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Кожа и слизистые оболочки становятся сухими и синюшными, черты лица заостряются, глаза западают, кожа на руках сморщивается, теряется звучность голоса (больной говорит только шёпотом), возникают судороги, тахикардия, АД снижается, поступление мочи частично или полностью прекращается</w:t>
            </w:r>
          </w:p>
        </w:tc>
      </w:tr>
      <w:tr w:rsidR="00432671" w:rsidRPr="00432671" w:rsidTr="00794ED9">
        <w:tc>
          <w:tcPr>
            <w:tcW w:w="0" w:type="auto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IV</w:t>
            </w:r>
          </w:p>
        </w:tc>
        <w:tc>
          <w:tcPr>
            <w:tcW w:w="1933" w:type="dxa"/>
            <w:hideMark/>
          </w:tcPr>
          <w:p w:rsidR="00432671" w:rsidRPr="00432671" w:rsidRDefault="00432671" w:rsidP="00794ED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>Более 10 %</w:t>
            </w:r>
          </w:p>
        </w:tc>
        <w:tc>
          <w:tcPr>
            <w:tcW w:w="5919" w:type="dxa"/>
            <w:hideMark/>
          </w:tcPr>
          <w:p w:rsidR="00432671" w:rsidRPr="00432671" w:rsidRDefault="00432671" w:rsidP="00794ED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32671">
              <w:rPr>
                <w:rFonts w:ascii="Times New Roman" w:eastAsia="Times New Roman" w:hAnsi="Times New Roman" w:cs="Times New Roman"/>
                <w:szCs w:val="24"/>
              </w:rPr>
              <w:t xml:space="preserve">Вышеперечисленная симптоматика развивается стремительно, показатель "верхнего" давления опускается ниже 60 мм </w:t>
            </w:r>
            <w:proofErr w:type="spellStart"/>
            <w:r w:rsidRPr="00432671">
              <w:rPr>
                <w:rFonts w:ascii="Times New Roman" w:eastAsia="Times New Roman" w:hAnsi="Times New Roman" w:cs="Times New Roman"/>
                <w:szCs w:val="24"/>
              </w:rPr>
              <w:t>рт</w:t>
            </w:r>
            <w:proofErr w:type="spellEnd"/>
            <w:r w:rsidRPr="00432671">
              <w:rPr>
                <w:rFonts w:ascii="Times New Roman" w:eastAsia="Times New Roman" w:hAnsi="Times New Roman" w:cs="Times New Roman"/>
                <w:szCs w:val="24"/>
              </w:rPr>
              <w:t xml:space="preserve">. ст., также снижается температура, синеет вся поверхность тела, вокруг глаз появляются тёмные круги, западает живот, возникают общие тонические судороги, развивается </w:t>
            </w:r>
            <w:proofErr w:type="spellStart"/>
            <w:r w:rsidRPr="00432671">
              <w:rPr>
                <w:rFonts w:ascii="Times New Roman" w:eastAsia="Times New Roman" w:hAnsi="Times New Roman" w:cs="Times New Roman"/>
                <w:szCs w:val="24"/>
              </w:rPr>
              <w:t>гиповолемический</w:t>
            </w:r>
            <w:proofErr w:type="spellEnd"/>
            <w:r w:rsidRPr="00432671">
              <w:rPr>
                <w:rFonts w:ascii="Times New Roman" w:eastAsia="Times New Roman" w:hAnsi="Times New Roman" w:cs="Times New Roman"/>
                <w:szCs w:val="24"/>
              </w:rPr>
              <w:t xml:space="preserve"> шок</w:t>
            </w:r>
          </w:p>
        </w:tc>
      </w:tr>
    </w:tbl>
    <w:p w:rsidR="00432671" w:rsidRDefault="00432671" w:rsidP="00432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По своему виду рвота напоминает мутновато-белую воду, запах отсутствует. Частота рвоты и объём рвотных масс увеличиваются. Сами позывы не сопровождаются напряжением и тошнотой.</w:t>
      </w:r>
    </w:p>
    <w:p w:rsidR="00136055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Стул вначале заболевания калового характера, затем приобретает типичный вид "</w:t>
      </w:r>
      <w:r>
        <w:rPr>
          <w:rFonts w:ascii="Times New Roman" w:hAnsi="Times New Roman" w:cs="Times New Roman"/>
          <w:sz w:val="24"/>
          <w:szCs w:val="24"/>
        </w:rPr>
        <w:t>рисового отвара</w:t>
      </w:r>
      <w:r w:rsidRPr="00432671">
        <w:rPr>
          <w:rFonts w:ascii="Times New Roman" w:hAnsi="Times New Roman" w:cs="Times New Roman"/>
          <w:sz w:val="24"/>
          <w:szCs w:val="24"/>
        </w:rPr>
        <w:t>". Он становится полупрозрачным, мутновато-белым с плавающими сероватыми хлопьями. Запах отсутствует. Интервалы между актами дефекации уменьшаются, а объём отделяемого, наоборот, увеличивается, вплоть до литра за один раз.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По мере развития болезни черты лица больного заостряются, глаза западают, вокруг них появляются тёмные круги, взгляд становится немигающим, кожа приобретает пепельный оттенок, губы, уши и нос синеют. При прощупывании (пальпации) живота </w:t>
      </w:r>
      <w:r w:rsidRPr="00432671">
        <w:rPr>
          <w:rFonts w:ascii="Times New Roman" w:hAnsi="Times New Roman" w:cs="Times New Roman"/>
          <w:sz w:val="24"/>
          <w:szCs w:val="24"/>
        </w:rPr>
        <w:lastRenderedPageBreak/>
        <w:t>слышен плеск и переливание жидкости. Сам живот при этом втянут. Пульс нитевидный, артериальное давление снижено.</w:t>
      </w:r>
    </w:p>
    <w:p w:rsidR="00136055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Если больному не оказывается помощь, то заболевание переходит в терминальную (последнюю) стадию: температура тела снижается до 34-35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, нарастает одышка, дыхание становится патологическим (нездоровым), из-за тонических судорог наблюдается "поза борца", моча не выделяется, резко уменьшается объём циркулирующей крови, приводя к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гиповолемическому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 шоку, возникает сопор (глубокое угнетение сознания). 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Мышечная сила желудка и кишечника снижается: рвота сменяется икотой, диаре</w:t>
      </w:r>
      <w:r>
        <w:rPr>
          <w:rFonts w:ascii="Times New Roman" w:hAnsi="Times New Roman" w:cs="Times New Roman"/>
          <w:sz w:val="24"/>
          <w:szCs w:val="24"/>
        </w:rPr>
        <w:t xml:space="preserve">я прекращается, наблюдается "зияющий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анус</w:t>
      </w:r>
      <w:proofErr w:type="spellEnd"/>
      <w:r>
        <w:rPr>
          <w:rFonts w:ascii="Times New Roman" w:hAnsi="Times New Roman" w:cs="Times New Roman"/>
          <w:sz w:val="24"/>
          <w:szCs w:val="24"/>
        </w:rPr>
        <w:t>" –</w:t>
      </w:r>
      <w:r w:rsidRPr="00432671">
        <w:rPr>
          <w:rFonts w:ascii="Times New Roman" w:hAnsi="Times New Roman" w:cs="Times New Roman"/>
          <w:sz w:val="24"/>
          <w:szCs w:val="24"/>
        </w:rPr>
        <w:t xml:space="preserve"> при надавливании на живот жидкость свободно истекает наружу.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 Сопор сменяется комой, и затем наступает смерть.</w:t>
      </w:r>
    </w:p>
    <w:p w:rsidR="00432671" w:rsidRPr="00432671" w:rsidRDefault="00432671" w:rsidP="004326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Поскольку основную опасность при холере представляет прогрессирующая потеря жидкости, ее восполнение в организме является основной задачей лечения этой инфекции. Лечение холеры производится в специализированном инфекционном отделении с изолированной палате (боксе), оборудованной специальной койкой (койка Филипса) с весами и посудой для сбора испражнений. Для точного определения степени дегидратации ведут учет их объема, регулярно определяют гематокрит, уровень ионов в сыворотке, кислотно-щелочной показатель.</w:t>
      </w:r>
    </w:p>
    <w:p w:rsidR="00432671" w:rsidRP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Первичные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регидратационные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 мероприятия включают восполнение имеющегося дефицита жидкости и электролитов. В тяжелых случаях производится внутривенное введение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полиионных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 растворов. После этого производят 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компенсаторную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. Введение жидкости происходит в соответствии с ее потерями. Возникновение рвоты не является противопоказанием к продолжению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. После восстановления водно-солевого баланса и прекращения рвоты начинают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антибиотикотерапию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. При холере назначают курс препаратов тетрациклинового ряда, а в случае повторного выделения бактерий –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>.</w:t>
      </w: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Специфической диеты при холере нет, 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 дни могут рекомендовать стол №4, а после стихания выраженной симптоматики и восстановления кишечной деятельности (3-5-й день лечения) - питание без особенностей. 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Перенесшим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 холеру рекомендовано увеличить в рационе содержащие калия продукты (курага, томатный и апельсиновый соки, бананы).</w:t>
      </w:r>
    </w:p>
    <w:p w:rsidR="00432671" w:rsidRPr="00432671" w:rsidRDefault="00432671" w:rsidP="004326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Профилактика холеры</w:t>
      </w: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Общий подход к профилактике холеры заключается в постоянном санитарном надзоре за водоснабжением</w:t>
      </w:r>
      <w:r w:rsidR="005D2C21">
        <w:rPr>
          <w:rFonts w:ascii="Times New Roman" w:hAnsi="Times New Roman" w:cs="Times New Roman"/>
          <w:sz w:val="24"/>
          <w:szCs w:val="24"/>
        </w:rPr>
        <w:t xml:space="preserve"> и продуктами питания населения, а также в следующих критериях: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Употребление только кипяченой или специально обработанной (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>) питьевой воды.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Термическая обработка пищи, соблюдение температурных режимов хранения пищи.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Тщательное мытье овощей и фруктов безопасной водой.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lastRenderedPageBreak/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Обеззараживание мест общего пользования.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5D2C21" w:rsidRPr="0043267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При выезде в страны неблагополучные по холере нельзя купаться в водоемах.</w:t>
      </w:r>
    </w:p>
    <w:p w:rsidR="005D2C21" w:rsidRPr="005D2C21" w:rsidRDefault="005D2C21" w:rsidP="005D2C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При выезде в страны неблагополучные по холере рекомендуется вакцинация против холеры.</w:t>
      </w:r>
    </w:p>
    <w:p w:rsidR="00432671" w:rsidRPr="00432671" w:rsidRDefault="0043267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>Противоэпидемические мероприятия в очагах инфекции направлены на изоляцию (госпитализацию) людей, ставших источником заражения, обеспечение населения качественной питьевой водой, обеззараживание сточных вод.</w:t>
      </w:r>
    </w:p>
    <w:p w:rsidR="005D2C21" w:rsidRPr="005D2C21" w:rsidRDefault="0043267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71">
        <w:rPr>
          <w:rFonts w:ascii="Times New Roman" w:hAnsi="Times New Roman" w:cs="Times New Roman"/>
          <w:sz w:val="24"/>
          <w:szCs w:val="24"/>
        </w:rPr>
        <w:t xml:space="preserve">Существует и специфическая профилактика – вакцинация людей, собирающихся посетить </w:t>
      </w:r>
      <w:proofErr w:type="spellStart"/>
      <w:r w:rsidRPr="00432671">
        <w:rPr>
          <w:rFonts w:ascii="Times New Roman" w:hAnsi="Times New Roman" w:cs="Times New Roman"/>
          <w:sz w:val="24"/>
          <w:szCs w:val="24"/>
        </w:rPr>
        <w:t>эндемичные</w:t>
      </w:r>
      <w:proofErr w:type="spellEnd"/>
      <w:r w:rsidRPr="00432671">
        <w:rPr>
          <w:rFonts w:ascii="Times New Roman" w:hAnsi="Times New Roman" w:cs="Times New Roman"/>
          <w:sz w:val="24"/>
          <w:szCs w:val="24"/>
        </w:rPr>
        <w:t xml:space="preserve"> районы (однак</w:t>
      </w:r>
      <w:proofErr w:type="gramStart"/>
      <w:r w:rsidRPr="00432671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432671">
        <w:rPr>
          <w:rFonts w:ascii="Times New Roman" w:hAnsi="Times New Roman" w:cs="Times New Roman"/>
          <w:sz w:val="24"/>
          <w:szCs w:val="24"/>
        </w:rPr>
        <w:t xml:space="preserve"> эффективности до сих пор ведутся споры – некоторые источники указывают на ее 70% эффективность, поэтому вакцинация не является обязательной), а также тех, кто проживает в очагах холеры.</w:t>
      </w:r>
    </w:p>
    <w:p w:rsidR="005D2C21" w:rsidRPr="005D2C21" w:rsidRDefault="005D2C2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На сегодняшний день существует 3 вида вакцины:</w:t>
      </w:r>
    </w:p>
    <w:p w:rsidR="005D2C21" w:rsidRPr="005D2C21" w:rsidRDefault="005D2C21" w:rsidP="005D2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Модифицированная вакцина WC/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rBS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>.</w:t>
      </w:r>
    </w:p>
    <w:p w:rsidR="005D2C21" w:rsidRPr="005D2C21" w:rsidRDefault="005D2C2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 xml:space="preserve">Применяется во Вьетнаме. Необходимо 2 вакцины с интервалом в 1 неделю. Эффективность вакцины длится от 3 до 6 месяцев, после чего человек имеет высокие шансы заболеть наравне с 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непривитыми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>.</w:t>
      </w:r>
    </w:p>
    <w:p w:rsidR="005D2C21" w:rsidRPr="005D2C21" w:rsidRDefault="005D2C21" w:rsidP="005D2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Вакцина CVD 103-HgR.</w:t>
      </w:r>
    </w:p>
    <w:p w:rsidR="005D2C21" w:rsidRPr="005D2C21" w:rsidRDefault="005D2C2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Достоверно защищает от холеры на срок до 1 месяца, после этого ее эффективность оценивается в 65%, поэтому рекомендуют ее повторить.</w:t>
      </w:r>
    </w:p>
    <w:p w:rsidR="005D2C21" w:rsidRPr="005D2C21" w:rsidRDefault="005D2C21" w:rsidP="005D2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Вакцина WC/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rBS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>.</w:t>
      </w:r>
    </w:p>
    <w:p w:rsidR="005D2C21" w:rsidRPr="005D2C21" w:rsidRDefault="005D2C21" w:rsidP="005D2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1">
        <w:rPr>
          <w:rFonts w:ascii="Times New Roman" w:hAnsi="Times New Roman" w:cs="Times New Roman"/>
          <w:sz w:val="24"/>
          <w:szCs w:val="24"/>
        </w:rPr>
        <w:t>Самая эффективная вакцина, защищающая от этого заболевания в течение 6 месяцев.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Pr="005D2C21" w:rsidRDefault="005D2C21" w:rsidP="005D2C2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2C2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26 апреля 2022 г. N 14 “О дополнительных мерах по профилактике холеры в Российской Федерации”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2C21">
        <w:t xml:space="preserve"> </w:t>
      </w:r>
      <w:r w:rsidRPr="005D2C21">
        <w:rPr>
          <w:rFonts w:ascii="Times New Roman" w:hAnsi="Times New Roman" w:cs="Times New Roman"/>
          <w:sz w:val="24"/>
          <w:szCs w:val="24"/>
        </w:rPr>
        <w:t xml:space="preserve">Клинические рекомендации (протокол лечения) оказания медицинской помощи детям больным холерой. ФГБУ НИИДИ ФМБА России, Общественная организация «Евроазиатское общество по инфекционным болезням», Общественная организация «Ассоциация врачей-инфекционистов Санкт-Петербурга и Ленинградской области» (АВИСПО). 2015. – 84 </w:t>
      </w:r>
      <w:proofErr w:type="gramStart"/>
      <w:r w:rsidRPr="005D2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C21">
        <w:rPr>
          <w:rFonts w:ascii="Times New Roman" w:hAnsi="Times New Roman" w:cs="Times New Roman"/>
          <w:sz w:val="24"/>
          <w:szCs w:val="24"/>
        </w:rPr>
        <w:t>.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2C21">
        <w:t xml:space="preserve"> </w:t>
      </w:r>
      <w:r w:rsidRPr="005D2C21">
        <w:rPr>
          <w:rFonts w:ascii="Times New Roman" w:hAnsi="Times New Roman" w:cs="Times New Roman"/>
          <w:sz w:val="24"/>
          <w:szCs w:val="24"/>
        </w:rPr>
        <w:t>Онищенко</w:t>
      </w:r>
      <w:r>
        <w:rPr>
          <w:rFonts w:ascii="Times New Roman" w:hAnsi="Times New Roman" w:cs="Times New Roman"/>
          <w:sz w:val="24"/>
          <w:szCs w:val="24"/>
        </w:rPr>
        <w:t xml:space="preserve"> Г. Г.</w:t>
      </w:r>
      <w:r w:rsidRPr="005D2C21">
        <w:rPr>
          <w:rFonts w:ascii="Times New Roman" w:hAnsi="Times New Roman" w:cs="Times New Roman"/>
          <w:sz w:val="24"/>
          <w:szCs w:val="24"/>
        </w:rPr>
        <w:t xml:space="preserve">, Покровского </w:t>
      </w:r>
      <w:r>
        <w:rPr>
          <w:rFonts w:ascii="Times New Roman" w:hAnsi="Times New Roman" w:cs="Times New Roman"/>
          <w:sz w:val="24"/>
          <w:szCs w:val="24"/>
        </w:rPr>
        <w:t xml:space="preserve">В.И. / </w:t>
      </w:r>
      <w:r w:rsidRPr="005D2C21">
        <w:rPr>
          <w:rFonts w:ascii="Times New Roman" w:hAnsi="Times New Roman" w:cs="Times New Roman"/>
          <w:sz w:val="24"/>
          <w:szCs w:val="24"/>
        </w:rPr>
        <w:t>Актуальные проблемы холеры / под ред. Г. Г. Онищенко, В. И. Покровского. — М., 2000. — 144 с.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D2C21">
        <w:t xml:space="preserve"> </w:t>
      </w:r>
      <w:proofErr w:type="spellStart"/>
      <w:r>
        <w:t>Т</w:t>
      </w:r>
      <w:r w:rsidRPr="005D2C21">
        <w:rPr>
          <w:rFonts w:ascii="Times New Roman" w:hAnsi="Times New Roman" w:cs="Times New Roman"/>
          <w:sz w:val="24"/>
          <w:szCs w:val="24"/>
        </w:rPr>
        <w:t>аточенко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 xml:space="preserve"> В. К., 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Озерецковский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 xml:space="preserve"> Н. А. Иммунопрофилактика-2020: справочник. — М: 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>, 2020. — 384 с.</w:t>
      </w:r>
    </w:p>
    <w:p w:rsidR="005D2C21" w:rsidRDefault="005D2C2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D2C21">
        <w:t xml:space="preserve"> </w:t>
      </w:r>
      <w:r w:rsidRPr="005D2C21">
        <w:rPr>
          <w:rFonts w:ascii="Times New Roman" w:hAnsi="Times New Roman" w:cs="Times New Roman"/>
          <w:sz w:val="24"/>
          <w:szCs w:val="24"/>
        </w:rPr>
        <w:t xml:space="preserve">Шувалова Е. П., Белозеров Е. С., Беляева Т. В., 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Змушко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 xml:space="preserve"> Е. И. Инфекционные болезни. — СПб.: </w:t>
      </w:r>
      <w:proofErr w:type="spellStart"/>
      <w:r w:rsidRPr="005D2C21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5D2C21">
        <w:rPr>
          <w:rFonts w:ascii="Times New Roman" w:hAnsi="Times New Roman" w:cs="Times New Roman"/>
          <w:sz w:val="24"/>
          <w:szCs w:val="24"/>
        </w:rPr>
        <w:t xml:space="preserve">, 2016. — 783 </w:t>
      </w:r>
      <w:proofErr w:type="gramStart"/>
      <w:r w:rsidRPr="005D2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C21">
        <w:rPr>
          <w:rFonts w:ascii="Times New Roman" w:hAnsi="Times New Roman" w:cs="Times New Roman"/>
          <w:sz w:val="24"/>
          <w:szCs w:val="24"/>
        </w:rPr>
        <w:t>.</w:t>
      </w: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432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055"/>
    <w:rsid w:val="00136055"/>
    <w:rsid w:val="00432671"/>
    <w:rsid w:val="005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Анна Перфильева</cp:lastModifiedBy>
  <cp:revision>2</cp:revision>
  <dcterms:created xsi:type="dcterms:W3CDTF">2023-02-19T06:38:00Z</dcterms:created>
  <dcterms:modified xsi:type="dcterms:W3CDTF">2023-02-19T07:07:00Z</dcterms:modified>
</cp:coreProperties>
</file>