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58" w:rsidRPr="00F17758" w:rsidRDefault="00F17758" w:rsidP="000B3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КОНТЕКСТНОЕ ОБУЧЕНИЕ В МЕДИЦИНСКОМ КОЛЛЕДЖЕ</w:t>
      </w:r>
    </w:p>
    <w:p w:rsidR="00053D17" w:rsidRDefault="00053D17" w:rsidP="000B3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758" w:rsidRDefault="00F17758" w:rsidP="000B3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Селеменева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С.И., директор, Жихарева Н.И.,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завпрактикой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Т.Н., преподаватель, Воронежский базовый медицинский колледж</w:t>
      </w:r>
    </w:p>
    <w:p w:rsidR="00956368" w:rsidRDefault="00956368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3D17" w:rsidRDefault="00956368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53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17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литературных источников, н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аиболее важно</w:t>
      </w:r>
      <w:r w:rsidR="00CB3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проблемой современного 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России является недостаточная практическая направленность образовательного процесса, результатом которого я</w:t>
      </w:r>
      <w:r w:rsidR="00CB3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вляется специалист, затрудняющийся 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применить свои знания на рабочем </w:t>
      </w:r>
      <w:proofErr w:type="gramStart"/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3,5,6</w:t>
      </w:r>
      <w:r w:rsidR="00F17758" w:rsidRPr="00F17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3D17" w:rsidRDefault="00053D17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С этим связано появление новых ФГОС по специальностям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</w:t>
      </w:r>
      <w:r w:rsidRPr="001C4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1].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Традиционная система образования построена на том, что студенты </w:t>
      </w:r>
      <w:r w:rsidR="00817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нередко 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усваивают алгоритмы решения «очищенных» про</w:t>
      </w:r>
      <w:r w:rsidR="00CB3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блем – задач без противоречий. А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лгоритм заучивается, мышление в этом процессе не участвует, познавательная деятельность студента здес</w:t>
      </w:r>
      <w:r w:rsidR="00CB3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репродуктивна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Решить эту проблему можно разными путями. Интересным и эффективным способом решения этой проблемы может быть внедрение </w:t>
      </w:r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контекстного обучения 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систему современного профессионального образования.</w:t>
      </w:r>
    </w:p>
    <w:p w:rsidR="00CB3685" w:rsidRDefault="00CB3685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концепции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контекстного обучен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доктор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 наук, проф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ессор</w:t>
      </w:r>
      <w:r w:rsidR="001C4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C4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Вербицкий</w:t>
      </w:r>
      <w:proofErr w:type="spellEnd"/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[4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 </w:t>
      </w:r>
    </w:p>
    <w:p w:rsidR="00CE2714" w:rsidRPr="00CE2714" w:rsidRDefault="00CB3685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CE2714"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Контекстное обучение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r w:rsidR="00CE2714" w:rsidRPr="00CE27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обучение, в котором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языке наук и с помощью всей системы форм, методов и средств обучения – традиционных и новых – </w:t>
      </w:r>
      <w:r w:rsidR="00CE2714" w:rsidRPr="00CE27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моделируется предметное и социальное содержание усваиваемой студентами профессиональной деятельности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[4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3716F8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Основополагающей категорией контекстного обучения является контекст. </w:t>
      </w:r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Контекст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система внутренних и внешних факторов и условий поведения и деятельности человека в конкретной ситуации, определяющая смысл и значение этой ситуации как целого и входящих в него компонентов. Контекст делится на два вида: внутренний - составляет совокупность индивидуальных особенностей, отношений, знаний и опыта человека; внешний – социокультурных, предметных, пространственно-временных и иных характеристик ситуации действия и поступка. 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образовательном процессе важен контекст профессионального будущего, который наполняет познавательную деятельность студентов личностным смыслом, что способствует повышению уровня мотивац</w:t>
      </w:r>
      <w:r w:rsidR="0095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активности студента [5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3716F8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Психологи утверждают, что контекст играет основную роль в процессе переработки информации, так как именно благодаря ему человек знает, что ожидать в этой ситуации и как осмысливать продукт восприятия. Например, слово «машина» в разном контексте имеет разное значение, оно может означать восклицание, удивление, вопрос, угрозу и т.д. Человек старается как можно больше собрать информации о ситуации, прежде чем принять решение. Основываясь на полученных данных, он может делать прогноз будущих событий. С точки зрения психологии </w:t>
      </w:r>
      <w:r w:rsidRPr="00CE27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этот процесс опережающего отражения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антиципацией. В организме протекают определённые процессы до появления событий, которые повлияют на результаты 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деятельности человека. Антиципации возникают именно под влиянием определённых контекстов. 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незнакомой ситуации организм человека </w:t>
      </w:r>
      <w:r w:rsidRPr="00CE27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импульсивно реагирует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воздействия, потому что образцов поведения, зафиксированных в определённых контекстах, у него нет. Именно поэтому контекст важен в учебной деятельности, так как он может активизировать мышление обучающегося в нужном для образовательного процесса русле </w:t>
      </w:r>
      <w:r w:rsidR="0095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[3,6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3716F8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процесс нужно рассматривать как фрагмент в контексте многообразной общественной жизни, а значит строиться на какой-то одной определённой технологии обучения он не может. Понимание этого аспекта очень важно, ведь только в этом случае учебная деятельность наполняется </w:t>
      </w:r>
      <w:proofErr w:type="gramStart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смыслом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proofErr w:type="gramEnd"/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3716F8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контекстного обучения профессионального образования – сформированная целостная модель будущей профессиональной деятельности студента, следовательно, моделирование является основной характеристикой учебно-воспитательного процесса. Реализуется моделирование с помощью системы новых и традиционных форм и методов обучения на языке знаковых средств предметного и социального содержания будущей профессиональной деятельности. </w:t>
      </w:r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Единицей мышления становится проблема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 задача как в традиционном подходе. В рамках специальных дисциплин на занятиях воссоздаются реальные профессиональные ситуации и фрагменты производства, </w:t>
      </w:r>
      <w:r w:rsidRPr="00CE27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отношения занятых в нем людей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="0095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помощи таких занятий студент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приобщается к своей будущей профессии. Преподавателю и студенту приходится работать с неоднозначной ситуацией, где может быть множество вариантов решения проблемы. Благодаря анализу ситуаций, деловых и учебных игр </w:t>
      </w:r>
      <w:r w:rsidRPr="00CE27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(игры-коммуникации, игры-защиты от манипуляции, игры для развития интуиции, игры-рефлексии и пр.)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 формируется как специали</w:t>
      </w:r>
      <w:r w:rsidR="0095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 и член будущего коллектива [4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3716F8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процесс в модели контекстного обучения состоит из трех базовых форм деятельности: </w:t>
      </w:r>
      <w:r w:rsidRPr="00CE27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учебная деятельность, </w:t>
      </w:r>
      <w:proofErr w:type="spellStart"/>
      <w:r w:rsidRPr="00CE27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квазипрофессиональная</w:t>
      </w:r>
      <w:proofErr w:type="spellEnd"/>
      <w:r w:rsidRPr="00CE27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и учебно-</w:t>
      </w:r>
      <w:proofErr w:type="gramStart"/>
      <w:r w:rsidRPr="00CE27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профессиональная</w:t>
      </w:r>
      <w:r w:rsidR="003716F8" w:rsidRPr="001C4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proofErr w:type="gramEnd"/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3,4</w:t>
      </w:r>
      <w:r w:rsidR="003716F8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Учебная деятельность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деятельность студента, которая организуется в виде информационной лекции, семинара по закреплению данной на лекции информации, либо лабораторного занятия с использованием заданий по заранее заданному образцу, алгоритму. В этом виде деятельности в большей степени реализуются традиционные способы получения и закрепления учебной информации, овладения стандартными умениями и навыками, а основной единицей деятельности студента является речевое действие (слушание, чтение, письмо, говорение). Однако, стоит отметить, что учебная деятельность трансформируется в </w:t>
      </w:r>
      <w:proofErr w:type="spellStart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квазипрофессиональную</w:t>
      </w:r>
      <w:proofErr w:type="spellEnd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путём введения проблемной лекции, лекции вдвоем или других контекстных форм лекций, семинара-дискуссии и </w:t>
      </w:r>
      <w:proofErr w:type="spellStart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</w:t>
      </w:r>
      <w:proofErr w:type="spellEnd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которых моделируются действия специалистов, работающих с теоретическими, противоречивыми по своей сути вопросами и проблемами; намечаются предметный и социальный контексты будущей профессиональной деятельности </w:t>
      </w:r>
      <w:r w:rsidR="001C4BCF" w:rsidRPr="001C4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956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3,4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Квазипрофессиональная</w:t>
      </w:r>
      <w:proofErr w:type="spellEnd"/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деятельность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форма организации учебно-познавательной деятельности студентов в контекстном обучении; объединяет в себе признаки учебной и будущей профессиональной деятельности. В этой форме при помощи языка учебной информации в аудитории ВУЗа моделируются условия, содержание и динамика производственного процесса (система образования – сфера духовного производства), отношения занятых в этом процессе людей. Наиболее ярко </w:t>
      </w:r>
      <w:proofErr w:type="spellStart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квазипрофессиональную</w:t>
      </w:r>
      <w:proofErr w:type="spellEnd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представляет деловая игра, которая являясь формой организации учебной деятельности студентов, воссоздает предметное, социальное и психологическое содержание реального профессионального труда специалиста, задает целостный ко</w:t>
      </w:r>
      <w:r w:rsidR="001C4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нтекст его деятельности [</w:t>
      </w:r>
      <w:r w:rsidR="00516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3,4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Учебно-профессиональная деятельность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форма организации учебной деятельности, при которой студенты, принимая участие в научных исследовани</w:t>
      </w:r>
      <w:r w:rsidR="00516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 в рамках НИРС или УИРС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работая на практике, г</w:t>
      </w:r>
      <w:r w:rsidR="001C4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отовя курсовые, ВКР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находятся в позиции обучающихся и одновременно по содержанию, формам, процессу и требованиям к получаемым результатам – в позиции специалистов. Фактически студенты выполняют реальную профессиональную деятельность, ориентируясь при этом на ранее полученные знания, а не академические процедуры усвоения знаний или овладения учебными навыками. На этой стадии завершается процесс трансформации учебной деятельн</w:t>
      </w:r>
      <w:r w:rsidR="00516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 в профессиональную [3,4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три формы деятельности находятся в тесной взаимосвязи. Теория контекстного обучения предполагает, что, при создании необходимых психологических, педагогических и методических условий происходит последовательная трансформация учебной деятельности в профессиональную. Чтобы трансформация состоялась не нужно копировать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 специалиста в учебной 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аудитории, либо делать студента подмастерьем, чтобы учиться у специалистов путем наблюдения и подражания. Для этого нужно последовательно моделировать в формах учебной деятельности студентов </w:t>
      </w:r>
      <w:r w:rsidRPr="00CE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профессиональную деятельность специалистов со стороны ее </w:t>
      </w:r>
      <w:r w:rsidRPr="00CE2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предметно-технологических (предметный контекст) и социальных составляющих (социальный контекст).</w:t>
      </w:r>
      <w:r w:rsidRPr="00CE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для студентов, становится более 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осмысленным, так как оно рассматривается 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контексте прошлого (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образцы теории и практики), настоящего (выполняемая познавательная деятельность) и будущего (моделируемые ситуации профессиональной деятельности). Таким образом, мотивируется познавательная деятельность студентов, а полученная информация становится личным знанием.</w:t>
      </w:r>
    </w:p>
    <w:p w:rsidR="00CE2714" w:rsidRPr="00CE2714" w:rsidRDefault="003716F8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основные теоретические положения </w:t>
      </w:r>
      <w:r w:rsidR="0002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контекстного обучения представлены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таблицы, которая содержится в труде А.А. Вербицкого «</w:t>
      </w:r>
      <w:proofErr w:type="spellStart"/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и теория конт</w:t>
      </w:r>
      <w:r w:rsidR="000B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екстного обучения» (см приложение</w:t>
      </w:r>
      <w:r w:rsidR="00CE271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0B32CB" w:rsidRPr="000B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r w:rsidR="00516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B32CB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практике эти положения реализуются у каждого преподавателя по-своему, так как преподавание дисциплин в контекстном обучении носит творческий характер.</w:t>
      </w:r>
    </w:p>
    <w:p w:rsidR="0002591D" w:rsidRDefault="007A7F7A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</w:t>
      </w:r>
      <w:r w:rsidR="0002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базе кабинета педиатрии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ВБМК</w:t>
      </w:r>
      <w:r w:rsidR="0002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такой метод обучения применяется в течение нескольких лет.</w:t>
      </w:r>
    </w:p>
    <w:p w:rsidR="0002591D" w:rsidRDefault="007A7F7A" w:rsidP="000B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02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смотрим его на примере выполнения связки актуальных </w:t>
      </w:r>
      <w:r w:rsidR="0002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манипуляций разведения антибиотика, набора дозы в шприц и выполнения в/м инъекции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</w:t>
      </w:r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дезинфекции оснащения</w:t>
      </w:r>
      <w:r w:rsidR="000259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7F7A" w:rsidRDefault="007A7F7A" w:rsidP="000B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Кроме обычного медицинского оснащения, фантома, обязательны листы назначений из ф.003/у, бланк выборки назначений врача, процедурный журнал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нем студенты записывают назначения под своими фамилиями)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12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инструкции к препаратам,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аварийной аптечки. Необходимо соответствующее оформление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оснащение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профессиональных зон («пост», «процедурная», «палата», «дезинфекция»), студенты в ролях м/с и родителей пациентов</w:t>
      </w:r>
      <w:r w:rsidR="00C96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преподаватель в роли лечащего врача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27DC" w:rsidRDefault="004727DC" w:rsidP="000B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Обязательна прямая речь при «взаимодействии с пациентами», а не рассказ о об этом.</w:t>
      </w:r>
    </w:p>
    <w:p w:rsidR="004727DC" w:rsidRDefault="007A7F7A" w:rsidP="000B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канву заданной ситуации по ходу выполнения манипуляций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вплетаются </w:t>
      </w:r>
      <w:r w:rsidR="00C96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самостоятельно предпринимаемые 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по решению</w:t>
      </w:r>
      <w:r w:rsidR="00C96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возникающих проблем, вызванных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ошибками студентов или вариантами реакции 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строптивых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пациентов на ситуацию.</w:t>
      </w:r>
    </w:p>
    <w:p w:rsidR="004727DC" w:rsidRDefault="004727DC" w:rsidP="000B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свежих примеров:</w:t>
      </w:r>
    </w:p>
    <w:p w:rsidR="00B862D0" w:rsidRDefault="00B862D0" w:rsidP="004727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«медбрат» не идентифицировал пациента;</w:t>
      </w:r>
    </w:p>
    <w:p w:rsidR="00B862D0" w:rsidRDefault="00B862D0" w:rsidP="004727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«медбрат» не убедился в согласии пациента на инъекцию;</w:t>
      </w:r>
    </w:p>
    <w:p w:rsidR="00B862D0" w:rsidRDefault="00B862D0" w:rsidP="004727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«медбрат»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пропальпировал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место предстоящей инъекции;</w:t>
      </w:r>
    </w:p>
    <w:p w:rsidR="004727DC" w:rsidRDefault="004727DC" w:rsidP="004727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медбрат»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пришел в палату делать в/м инъекцию, надел перчатки, открыл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лоток, а там нет ватных шариков;</w:t>
      </w:r>
    </w:p>
    <w:p w:rsidR="004727DC" w:rsidRDefault="004727DC" w:rsidP="004727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«м/с», извлекая стерильный шарик из укладки, задела пинцетом внешнюю поверхность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стерил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-упаковки;</w:t>
      </w:r>
    </w:p>
    <w:p w:rsidR="004727DC" w:rsidRDefault="00B862D0" w:rsidP="00B862D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«м/с» подняла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стерильным пинцетом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упавший на стол ватный шарик;</w:t>
      </w:r>
    </w:p>
    <w:p w:rsidR="00B862D0" w:rsidRDefault="00C960A0" w:rsidP="00B862D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«м/с» не надела перчатки перед выполнением дезинфекции отработанных материалов, изделий мед. назначения;</w:t>
      </w:r>
    </w:p>
    <w:p w:rsidR="00C960A0" w:rsidRDefault="00C960A0" w:rsidP="00B862D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«м/с» не сделала отметку о том, что лекарство введено; </w:t>
      </w:r>
    </w:p>
    <w:p w:rsidR="00C960A0" w:rsidRPr="00C960A0" w:rsidRDefault="003716F8" w:rsidP="00C960A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«м/с» расположила фантом </w:t>
      </w:r>
      <w:r w:rsidR="00C96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ногами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</w:t>
      </w:r>
      <w:r w:rsidR="00C960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 т.д.</w:t>
      </w:r>
    </w:p>
    <w:p w:rsidR="004727DC" w:rsidRDefault="00C960A0" w:rsidP="00472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Контекстное обучение постепенно и последовательно погружает студентов в реальную производственную среду, оно 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активации поиска ошибок 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теми, кто наблюдает со стороны, вариантов разрешения проблем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всеми участниками такого обучения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27DC" w:rsidRDefault="006B3CE7" w:rsidP="00472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</w:t>
      </w:r>
      <w:r w:rsidR="00371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реплением таких заданий будут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коллективное обсуждение и </w:t>
      </w:r>
      <w:r w:rsidR="00DD0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индивидуальная 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своими </w:t>
      </w:r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ошибками в виде заполнения таблицы</w:t>
      </w:r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9C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="00472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D0E28" w:rsidRDefault="00DD0E28" w:rsidP="00DD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ошибками</w:t>
      </w: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987"/>
        <w:gridCol w:w="4252"/>
        <w:gridCol w:w="4097"/>
      </w:tblGrid>
      <w:tr w:rsidR="004727DC" w:rsidTr="004727DC">
        <w:tc>
          <w:tcPr>
            <w:tcW w:w="529" w:type="pct"/>
          </w:tcPr>
          <w:p w:rsidR="004727DC" w:rsidRDefault="006B3CE7" w:rsidP="006B3C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277" w:type="pct"/>
          </w:tcPr>
          <w:p w:rsidR="004727DC" w:rsidRDefault="004727DC" w:rsidP="004727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2194" w:type="pct"/>
          </w:tcPr>
          <w:p w:rsidR="004727DC" w:rsidRDefault="004727DC" w:rsidP="004727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Последствия ошибки</w:t>
            </w:r>
          </w:p>
        </w:tc>
      </w:tr>
      <w:tr w:rsidR="004727DC" w:rsidTr="004727DC">
        <w:tc>
          <w:tcPr>
            <w:tcW w:w="529" w:type="pct"/>
          </w:tcPr>
          <w:p w:rsidR="004727DC" w:rsidRPr="006B3CE7" w:rsidRDefault="006B3CE7" w:rsidP="006B3CE7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7" w:type="pct"/>
          </w:tcPr>
          <w:p w:rsidR="004727DC" w:rsidRDefault="006B3CE7" w:rsidP="004727DC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Неправильный набор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дозы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а/б</w:t>
            </w:r>
          </w:p>
          <w:p w:rsidR="00DD0E28" w:rsidRDefault="00DD0E28" w:rsidP="004727DC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(вместо 200.000ЕД 400.000ЕД)</w:t>
            </w:r>
          </w:p>
          <w:p w:rsidR="006B3CE7" w:rsidRPr="006B3CE7" w:rsidRDefault="006B3CE7" w:rsidP="004727DC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</w:tcPr>
          <w:p w:rsidR="004727DC" w:rsidRPr="006B3CE7" w:rsidRDefault="006B3CE7" w:rsidP="004727DC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(передозировка), токсическое действие, аллергическая реакция, ус</w:t>
            </w:r>
            <w:r w:rsidR="00DD0E28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иление побочного действия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33D2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вплоть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до летального исхода</w:t>
            </w:r>
          </w:p>
        </w:tc>
      </w:tr>
      <w:tr w:rsidR="004727DC" w:rsidTr="004727DC">
        <w:tc>
          <w:tcPr>
            <w:tcW w:w="529" w:type="pct"/>
          </w:tcPr>
          <w:p w:rsidR="004727DC" w:rsidRPr="00B862D0" w:rsidRDefault="006B3CE7" w:rsidP="004727DC">
            <w:pPr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B862D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77" w:type="pct"/>
          </w:tcPr>
          <w:p w:rsidR="004727DC" w:rsidRPr="00B862D0" w:rsidRDefault="006B3CE7" w:rsidP="004727DC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B862D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Расстерилизован</w:t>
            </w:r>
            <w:proofErr w:type="spellEnd"/>
            <w:r w:rsidRPr="00B862D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пинцет</w:t>
            </w:r>
          </w:p>
        </w:tc>
        <w:tc>
          <w:tcPr>
            <w:tcW w:w="2194" w:type="pct"/>
          </w:tcPr>
          <w:p w:rsidR="004727DC" w:rsidRPr="00B862D0" w:rsidRDefault="006B3CE7" w:rsidP="004727DC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B862D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Инфицирование стерильных материалов, риск инфицирования пациентов</w:t>
            </w:r>
          </w:p>
        </w:tc>
      </w:tr>
      <w:tr w:rsidR="004727DC" w:rsidTr="004727DC">
        <w:tc>
          <w:tcPr>
            <w:tcW w:w="529" w:type="pct"/>
          </w:tcPr>
          <w:p w:rsidR="004727DC" w:rsidRDefault="006B3CE7" w:rsidP="004727D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77" w:type="pct"/>
          </w:tcPr>
          <w:p w:rsidR="004727DC" w:rsidRDefault="004727DC" w:rsidP="004727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</w:tcPr>
          <w:p w:rsidR="004727DC" w:rsidRDefault="004727DC" w:rsidP="004727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B3CE7" w:rsidTr="004727DC">
        <w:tc>
          <w:tcPr>
            <w:tcW w:w="529" w:type="pct"/>
          </w:tcPr>
          <w:p w:rsidR="006B3CE7" w:rsidRDefault="006B3CE7" w:rsidP="004727D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77" w:type="pct"/>
          </w:tcPr>
          <w:p w:rsidR="006B3CE7" w:rsidRDefault="006B3CE7" w:rsidP="004727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</w:tcPr>
          <w:p w:rsidR="006B3CE7" w:rsidRDefault="006B3CE7" w:rsidP="004727D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727DC" w:rsidRPr="004727DC" w:rsidRDefault="004727DC" w:rsidP="00472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F7A" w:rsidRPr="00CE2714" w:rsidRDefault="009C3987" w:rsidP="000B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Ана</w:t>
      </w:r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логично осваиваются 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забору биологических материалов для исследования, подготовки к инструментальным исследованиям, начиная с выборки н</w:t>
      </w:r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азначений врача, </w:t>
      </w:r>
      <w:proofErr w:type="spellStart"/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идентифицирования</w:t>
      </w:r>
      <w:proofErr w:type="spellEnd"/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информирования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пациента.</w:t>
      </w:r>
      <w:r w:rsidR="0014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включение </w:t>
      </w:r>
      <w:proofErr w:type="spellStart"/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СОПов</w:t>
      </w:r>
      <w:proofErr w:type="spellEnd"/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14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элементов электронного документооборота в контекстное обучение, если кабинет оснащен ПК</w:t>
      </w:r>
      <w:r w:rsidR="00B62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2714" w:rsidRPr="00CE2714" w:rsidRDefault="00CE2714" w:rsidP="000B3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контекстного обучения</w:t>
      </w:r>
      <w:r w:rsidR="000B32CB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гораздо в</w:t>
      </w:r>
      <w:r w:rsidR="000B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ыше, чем обучения т</w:t>
      </w:r>
      <w:r w:rsidR="00A33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радиционного, и это подтверждено</w:t>
      </w:r>
      <w:r w:rsidR="000B3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экспериментально</w:t>
      </w:r>
      <w:r w:rsidR="0014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6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[5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]. </w:t>
      </w:r>
    </w:p>
    <w:p w:rsidR="00CE2714" w:rsidRPr="00CE2714" w:rsidRDefault="00CE2714" w:rsidP="00145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при всех преимуществах контекстного обучения оно фактически не нашло широкого применения в профессиональном образовании. Во многом это связано с трудностями моделирования профессионального контекста обучения. Однако, расширяющиеся сегодня возможности модел</w:t>
      </w:r>
      <w:r w:rsidR="0014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ирования профессиональной среды</w:t>
      </w: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обучения (на основе технологий компьютерного моделирования, </w:t>
      </w:r>
      <w:proofErr w:type="spellStart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иммерсивных</w:t>
      </w:r>
      <w:proofErr w:type="spellEnd"/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сред, виртуальной реальности), позволяют в полной мере реализовать принципы контекстного подхода. Применение концепции и технологий контекстного обучения актуализируется сегодня и может составить эффективную научно-теоретическую и практическую платформу решения проблем профессионального образования</w:t>
      </w:r>
      <w:r w:rsidR="0014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гармонично</w:t>
      </w:r>
      <w:r w:rsidR="00E53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подходит для обучения по новым</w:t>
      </w:r>
      <w:r w:rsidR="0014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по специальности 34.02.01</w:t>
      </w:r>
      <w:r w:rsidR="00516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[4,1</w:t>
      </w:r>
      <w:r w:rsidR="00145284"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</w:p>
    <w:p w:rsidR="00CE2714" w:rsidRPr="00CE2714" w:rsidRDefault="00CE2714" w:rsidP="000B3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E159B" w:rsidRDefault="00CE2714" w:rsidP="000E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607568" w:rsidRDefault="00607568" w:rsidP="000E1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86DEB" w:rsidRDefault="00CA1B2A" w:rsidP="00CA1B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6DEB" w:rsidRPr="00786D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Приказ</w:t>
      </w:r>
      <w:r w:rsidR="00786DEB" w:rsidRP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DEB" w:rsidRPr="00786D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Министерства</w:t>
      </w:r>
      <w:r w:rsidR="00786DEB" w:rsidRP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DEB" w:rsidRPr="00786D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просвещения</w:t>
      </w:r>
      <w:r w:rsidR="00786DEB" w:rsidRP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 от 04.07.2022 </w:t>
      </w:r>
      <w:r w:rsidR="00786DEB" w:rsidRPr="00786D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</w:t>
      </w:r>
      <w:r w:rsidR="00786DEB" w:rsidRP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DEB" w:rsidRPr="00786DE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527</w:t>
      </w:r>
      <w:r w:rsidR="00786DEB" w:rsidRP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86DEB" w:rsidRP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федерального государственного образовательного стандарта среднего профессионального образования по специаль</w:t>
      </w:r>
      <w:r w:rsidR="00786D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ности 34.02.01 Сестринское дело»</w:t>
      </w:r>
    </w:p>
    <w:p w:rsidR="002B7054" w:rsidRPr="00CA1B2A" w:rsidRDefault="00CA1B2A" w:rsidP="00C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Андрюхина</w:t>
      </w: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Технологии </w:t>
      </w:r>
      <w:proofErr w:type="spellStart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телеприсутствия</w:t>
      </w:r>
      <w:proofErr w:type="spellEnd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новая антропологическая платформа развития образования // Образование и наука. – 2014. – № 8 (117). – С. 49–66.</w:t>
      </w:r>
    </w:p>
    <w:p w:rsidR="00CA1B2A" w:rsidRPr="00CA1B2A" w:rsidRDefault="00CA1B2A" w:rsidP="00CA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B2A">
        <w:rPr>
          <w:rFonts w:ascii="Times New Roman" w:hAnsi="Times New Roman" w:cs="Times New Roman"/>
          <w:sz w:val="28"/>
          <w:szCs w:val="28"/>
        </w:rPr>
        <w:t>3.Буланов, Ю.Ю. Значение концепции контекстного обучения А.А. Вербицкого для современного профессионального образования. М. РГПГУ. 2018.</w:t>
      </w: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CA1B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https://scienceforum.ru/2018/article/2018000028</w:t>
        </w:r>
      </w:hyperlink>
    </w:p>
    <w:p w:rsidR="00CA1B2A" w:rsidRPr="00CA1B2A" w:rsidRDefault="00CA1B2A" w:rsidP="00C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Вербицкий</w:t>
      </w: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Активное обучение в высшей школе: контекстный подход // Метод. пособие. – </w:t>
      </w:r>
      <w:proofErr w:type="spellStart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1991. – С. 207.</w:t>
      </w:r>
    </w:p>
    <w:p w:rsidR="002B7054" w:rsidRPr="00CA1B2A" w:rsidRDefault="00CA1B2A" w:rsidP="00C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</w:t>
      </w: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Контекстное обучение как средство формирования профессиональной компетентности будущих юристов [Электронный ресурс]. – Режим доступа: https://old.mgpu.ru/materials/12/12821.pdf.</w:t>
      </w:r>
    </w:p>
    <w:p w:rsidR="00CA1B2A" w:rsidRPr="00CA1B2A" w:rsidRDefault="00CA1B2A" w:rsidP="00CA1B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</w:t>
      </w: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Лаврентьева</w:t>
      </w:r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Н.Б., </w:t>
      </w:r>
      <w:proofErr w:type="spellStart"/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Неудахина</w:t>
      </w:r>
      <w:proofErr w:type="spellEnd"/>
      <w:r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Инновационные обучающие технологии в профессиональной подготовке специалистов (часть2) [Электронный ресурс]. – Режим доступа: </w:t>
      </w:r>
      <w:hyperlink r:id="rId6" w:history="1">
        <w:r w:rsidR="00786DEB" w:rsidRPr="00CA1B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http://www2.asu.ru/cppkp/index.files/ucheb.files/innov/Part2/ch1/glava_1_1.html</w:t>
        </w:r>
      </w:hyperlink>
      <w:r w:rsidR="00786DEB" w:rsidRPr="00CA1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59B" w:rsidRDefault="000E159B" w:rsidP="000B32CB">
      <w:pPr>
        <w:spacing w:after="0" w:line="240" w:lineRule="auto"/>
        <w:rPr>
          <w:lang w:eastAsia="ru-RU"/>
        </w:rPr>
      </w:pPr>
    </w:p>
    <w:p w:rsidR="000E159B" w:rsidRDefault="000E159B" w:rsidP="000B32CB">
      <w:pPr>
        <w:spacing w:after="0" w:line="240" w:lineRule="auto"/>
        <w:rPr>
          <w:lang w:eastAsia="ru-RU"/>
        </w:rPr>
      </w:pPr>
    </w:p>
    <w:p w:rsidR="0002591D" w:rsidRPr="00CE2714" w:rsidRDefault="0002591D" w:rsidP="000259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9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Приложение</w:t>
      </w:r>
    </w:p>
    <w:p w:rsidR="0002591D" w:rsidRPr="00CE2714" w:rsidRDefault="0002591D" w:rsidP="00025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2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модель и технологии контекстного обучения</w:t>
      </w:r>
    </w:p>
    <w:p w:rsidR="0002591D" w:rsidRPr="00F17758" w:rsidRDefault="0002591D" w:rsidP="000B32CB">
      <w:pPr>
        <w:spacing w:after="0" w:line="240" w:lineRule="auto"/>
        <w:rPr>
          <w:lang w:eastAsia="ru-RU"/>
        </w:rPr>
      </w:pPr>
      <w:bookmarkStart w:id="0" w:name="_GoBack"/>
      <w:bookmarkEnd w:id="0"/>
    </w:p>
    <w:tbl>
      <w:tblPr>
        <w:tblW w:w="91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2289"/>
        <w:gridCol w:w="2505"/>
        <w:gridCol w:w="2541"/>
      </w:tblGrid>
      <w:tr w:rsidR="000B32CB" w:rsidRPr="00CE2714" w:rsidTr="00786DEB">
        <w:trPr>
          <w:trHeight w:val="84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2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Компоненты</w:t>
            </w:r>
          </w:p>
          <w:p w:rsidR="000B32CB" w:rsidRPr="00CE2714" w:rsidRDefault="000B32CB" w:rsidP="002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контекстного обучения</w:t>
            </w:r>
          </w:p>
        </w:tc>
        <w:tc>
          <w:tcPr>
            <w:tcW w:w="73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2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Динамика движения деятельности студентов в контекстном</w:t>
            </w:r>
          </w:p>
          <w:p w:rsidR="000B32CB" w:rsidRPr="00CE2714" w:rsidRDefault="000B32CB" w:rsidP="0028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обучении</w:t>
            </w:r>
          </w:p>
        </w:tc>
      </w:tr>
      <w:tr w:rsidR="00C72986" w:rsidRPr="00CE2714" w:rsidTr="00786DEB">
        <w:trPr>
          <w:trHeight w:val="84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контекстного обучения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Понятийная сторона профессиональной деятельности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Предметная сторона профессиональной деятельности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сторона профессиональной деятельности</w:t>
            </w:r>
          </w:p>
        </w:tc>
      </w:tr>
      <w:tr w:rsidR="00C72986" w:rsidRPr="00CE2714" w:rsidTr="00786DEB">
        <w:trPr>
          <w:trHeight w:val="856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Базовые формы деятельности студентов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Собственно</w:t>
            </w:r>
          </w:p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Квазипрофессиональная</w:t>
            </w:r>
            <w:proofErr w:type="spellEnd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Учебно-профессиональная деятельность</w:t>
            </w:r>
          </w:p>
        </w:tc>
      </w:tr>
      <w:tr w:rsidR="00C72986" w:rsidRPr="00CE2714" w:rsidTr="00786DEB">
        <w:trPr>
          <w:trHeight w:val="55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Ведущая обучающая модель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Семиотическая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Имитационная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</w:t>
            </w:r>
          </w:p>
        </w:tc>
      </w:tr>
      <w:tr w:rsidR="00C72986" w:rsidRPr="00CE2714" w:rsidTr="00786DEB">
        <w:trPr>
          <w:trHeight w:val="3103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и виды учебных занятий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Информационная, проблемная лекции, лекция вдвоем, лекция с запланированными ошибками, лекция-визуализация и др., семинары, семинары-дискуссии, семинары- исследования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Практическое занятие (лабораторная работа, практикум, анализ профессиональных ситуаций, имитационная, ролевая игра, деловая игра, тренинг), курсовая работа, УИРС, спецкурсы, </w:t>
            </w:r>
            <w:proofErr w:type="spellStart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спецсеминары</w:t>
            </w:r>
            <w:proofErr w:type="spellEnd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(семинары-исследования, семинары-дискуссии)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Производственная практика, НИРС, подготовка дипломной работы, в </w:t>
            </w:r>
            <w:proofErr w:type="spellStart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«реального диплома» с внедрением его результатов в практику</w:t>
            </w:r>
          </w:p>
        </w:tc>
      </w:tr>
      <w:tr w:rsidR="00C72986" w:rsidRPr="00CE2714" w:rsidTr="00786DEB">
        <w:trPr>
          <w:trHeight w:val="1406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Функции преподавателя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Предъявление и закрепление информации в виде образцов знания и опыта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Включение студентов в решение задач и разрешение учебных проблемных ситуаций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Включение студентов в разрешение профессиональных исследовательских и практических проблем и задач</w:t>
            </w:r>
          </w:p>
        </w:tc>
      </w:tr>
      <w:tr w:rsidR="00C72986" w:rsidRPr="00CE2714" w:rsidTr="00786DEB">
        <w:trPr>
          <w:trHeight w:val="567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Функции студента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и сов</w:t>
            </w:r>
            <w:r w:rsidRPr="000B32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естная работа с текстами (слушание, чтение, письмо, говорение), включая конспектирование (план-конспект, конспект-схема) и реферирование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и совместное разрешение проблем и задач </w:t>
            </w:r>
            <w:proofErr w:type="spellStart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квазипрофессиональн</w:t>
            </w:r>
            <w:proofErr w:type="spellEnd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-ой деятельности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и совместное разрешение проблем и задач учебно-профессиональной деятельности</w:t>
            </w:r>
          </w:p>
        </w:tc>
      </w:tr>
      <w:tr w:rsidR="00C72986" w:rsidRPr="00CE2714" w:rsidTr="00786DEB">
        <w:trPr>
          <w:trHeight w:val="2247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Совершаемые студентом действия и поступки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Преимущественно перцептивные, </w:t>
            </w:r>
            <w:proofErr w:type="spellStart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мнемические</w:t>
            </w:r>
            <w:proofErr w:type="spellEnd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речевые действия по усвоению, восприятию, переработке и воспроизведению учебной информации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 действия и поступки в ситуациях, моделирующих предметное и социальное содержание</w:t>
            </w:r>
          </w:p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 действия и поступки в моделируемых и реальных ситуациях профессиональной деятельности</w:t>
            </w:r>
          </w:p>
        </w:tc>
      </w:tr>
      <w:tr w:rsidR="00C72986" w:rsidRPr="00CE2714" w:rsidTr="00786DEB">
        <w:trPr>
          <w:trHeight w:val="2522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Средства контроля процесса овладения профессиональной деятельностью, развития личности специалиста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и проблемные</w:t>
            </w:r>
          </w:p>
          <w:p w:rsidR="000B32CB" w:rsidRPr="00CE2714" w:rsidRDefault="000B32CB" w:rsidP="0016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вопросы, задания, контрольные работы, вопросы к зачетам и экзаменам.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</w:t>
            </w:r>
          </w:p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оценки качества разрешения учебных проблем и задач, контрольные</w:t>
            </w:r>
          </w:p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вопросы,</w:t>
            </w:r>
          </w:p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отзывы и экспертные заключения, аттестационные игры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Вопросы к </w:t>
            </w:r>
            <w:proofErr w:type="spellStart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госэкзаменам</w:t>
            </w:r>
            <w:proofErr w:type="spellEnd"/>
            <w:r w:rsidRPr="00CE27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отзывы и рецензии, экспертные заключения</w:t>
            </w:r>
          </w:p>
        </w:tc>
      </w:tr>
      <w:tr w:rsidR="00C72986" w:rsidRPr="00CE2714" w:rsidTr="00786DEB">
        <w:trPr>
          <w:trHeight w:val="2813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 развития личности специалиста</w:t>
            </w:r>
          </w:p>
        </w:tc>
        <w:tc>
          <w:tcPr>
            <w:tcW w:w="22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предметных знаний, развитие коммуникативных умений, порождение познавательной мотивации, личностных смыслов, отношения к профессии</w:t>
            </w:r>
          </w:p>
        </w:tc>
        <w:tc>
          <w:tcPr>
            <w:tcW w:w="2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социальной и предметной компетентности, профессиональной мотивации специалиста</w:t>
            </w:r>
          </w:p>
        </w:tc>
        <w:tc>
          <w:tcPr>
            <w:tcW w:w="2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2CB" w:rsidRPr="00CE2714" w:rsidRDefault="000B32CB" w:rsidP="00C7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социальной и предметной компетентности, профессиональной мотивации и личностных смыслов будущего специалиста</w:t>
            </w:r>
          </w:p>
        </w:tc>
      </w:tr>
    </w:tbl>
    <w:p w:rsidR="000558AD" w:rsidRPr="00F17758" w:rsidRDefault="00A33D2A" w:rsidP="000B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58AD" w:rsidRPr="00F1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2A54"/>
    <w:multiLevelType w:val="multilevel"/>
    <w:tmpl w:val="0B2C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C1DB5"/>
    <w:multiLevelType w:val="hybridMultilevel"/>
    <w:tmpl w:val="C8DC1602"/>
    <w:lvl w:ilvl="0" w:tplc="D044640E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2BF7C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AF71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4317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2D6FA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CE9B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8E7D9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AFDF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48A1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04998"/>
    <w:multiLevelType w:val="hybridMultilevel"/>
    <w:tmpl w:val="2E642C46"/>
    <w:lvl w:ilvl="0" w:tplc="06A8974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670F"/>
    <w:multiLevelType w:val="hybridMultilevel"/>
    <w:tmpl w:val="BBE26C4E"/>
    <w:lvl w:ilvl="0" w:tplc="4036AFE0">
      <w:start w:val="1"/>
      <w:numFmt w:val="decimal"/>
      <w:lvlText w:val="%1)"/>
      <w:lvlJc w:val="left"/>
      <w:pPr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BB7"/>
    <w:multiLevelType w:val="hybridMultilevel"/>
    <w:tmpl w:val="236A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50"/>
    <w:rsid w:val="0002591D"/>
    <w:rsid w:val="00053D17"/>
    <w:rsid w:val="000B32CB"/>
    <w:rsid w:val="000E159B"/>
    <w:rsid w:val="0011235F"/>
    <w:rsid w:val="00145284"/>
    <w:rsid w:val="00161884"/>
    <w:rsid w:val="001C4BCF"/>
    <w:rsid w:val="002476ED"/>
    <w:rsid w:val="00305492"/>
    <w:rsid w:val="003716F8"/>
    <w:rsid w:val="004727DC"/>
    <w:rsid w:val="0048490C"/>
    <w:rsid w:val="00516F72"/>
    <w:rsid w:val="005437D1"/>
    <w:rsid w:val="00607568"/>
    <w:rsid w:val="006B3CE7"/>
    <w:rsid w:val="00786DEB"/>
    <w:rsid w:val="007A7F7A"/>
    <w:rsid w:val="007D5750"/>
    <w:rsid w:val="00817957"/>
    <w:rsid w:val="00950794"/>
    <w:rsid w:val="00956368"/>
    <w:rsid w:val="009C3987"/>
    <w:rsid w:val="00A33A6A"/>
    <w:rsid w:val="00A33D2A"/>
    <w:rsid w:val="00B627CA"/>
    <w:rsid w:val="00B862D0"/>
    <w:rsid w:val="00C72986"/>
    <w:rsid w:val="00C960A0"/>
    <w:rsid w:val="00CA1B2A"/>
    <w:rsid w:val="00CB3685"/>
    <w:rsid w:val="00CC36A2"/>
    <w:rsid w:val="00CE2714"/>
    <w:rsid w:val="00DD0E28"/>
    <w:rsid w:val="00E5381A"/>
    <w:rsid w:val="00E73454"/>
    <w:rsid w:val="00F1775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8E10"/>
  <w15:chartTrackingRefBased/>
  <w15:docId w15:val="{DD720912-0657-426B-91E6-EEF24993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27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177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7758"/>
    <w:pPr>
      <w:ind w:left="720"/>
      <w:contextualSpacing/>
    </w:pPr>
  </w:style>
  <w:style w:type="table" w:styleId="a5">
    <w:name w:val="Table Grid"/>
    <w:basedOn w:val="a1"/>
    <w:uiPriority w:val="39"/>
    <w:rsid w:val="0047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su.ru/cppkp/index.files/ucheb.files/innov/Part2/ch1/glava_1_1.html" TargetMode="External"/><Relationship Id="rId5" Type="http://schemas.openxmlformats.org/officeDocument/2006/relationships/hyperlink" Target="https://scienceforum.ru/2018/article/201800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2022-11-25T13:42:00Z</dcterms:created>
  <dcterms:modified xsi:type="dcterms:W3CDTF">2022-11-28T12:21:00Z</dcterms:modified>
</cp:coreProperties>
</file>