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4BC" w:rsidRPr="00F064BC" w:rsidRDefault="00C11B5C" w:rsidP="00F064B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Разъяснение законодательства </w:t>
      </w:r>
      <w:r w:rsidR="008712CD">
        <w:rPr>
          <w:rFonts w:ascii="Times New Roman" w:hAnsi="Times New Roman" w:cs="Times New Roman"/>
          <w:b/>
          <w:bCs/>
          <w:sz w:val="28"/>
          <w:szCs w:val="28"/>
        </w:rPr>
        <w:t>о банкротстве физических лиц</w:t>
      </w:r>
    </w:p>
    <w:p w:rsidR="00F064BC" w:rsidRPr="00F064BC" w:rsidRDefault="00F064BC" w:rsidP="00F064BC">
      <w:pPr>
        <w:autoSpaceDE w:val="0"/>
        <w:autoSpaceDN w:val="0"/>
        <w:adjustRightInd w:val="0"/>
        <w:spacing w:after="0" w:line="240" w:lineRule="auto"/>
        <w:jc w:val="both"/>
        <w:rPr>
          <w:rFonts w:ascii="Times New Roman" w:hAnsi="Times New Roman" w:cs="Times New Roman"/>
          <w:sz w:val="28"/>
          <w:szCs w:val="28"/>
        </w:rPr>
      </w:pPr>
    </w:p>
    <w:p w:rsidR="00D9651E" w:rsidRDefault="00D9651E" w:rsidP="00D9651E">
      <w:pPr>
        <w:spacing w:after="0" w:line="240" w:lineRule="auto"/>
        <w:ind w:firstLine="709"/>
        <w:jc w:val="both"/>
        <w:rPr>
          <w:rFonts w:ascii="Times New Roman" w:eastAsia="Times New Roman" w:hAnsi="Times New Roman" w:cs="Times New Roman"/>
          <w:sz w:val="28"/>
          <w:szCs w:val="28"/>
          <w:lang w:eastAsia="ru-RU"/>
        </w:rPr>
      </w:pPr>
      <w:bookmarkStart w:id="0" w:name="Par2"/>
      <w:bookmarkEnd w:id="0"/>
    </w:p>
    <w:p w:rsidR="00D9651E" w:rsidRPr="00E83CEA" w:rsidRDefault="00D9651E"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Глава </w:t>
      </w:r>
      <w:r w:rsidRPr="00D9651E">
        <w:rPr>
          <w:rFonts w:ascii="Times New Roman" w:eastAsia="Times New Roman" w:hAnsi="Times New Roman" w:cs="Times New Roman"/>
          <w:bCs/>
          <w:sz w:val="28"/>
          <w:szCs w:val="28"/>
          <w:lang w:eastAsia="ru-RU"/>
        </w:rPr>
        <w:t>X</w:t>
      </w:r>
      <w:r w:rsidRPr="00E83CEA">
        <w:rPr>
          <w:rFonts w:ascii="Times New Roman" w:eastAsia="Times New Roman" w:hAnsi="Times New Roman" w:cs="Times New Roman"/>
          <w:bCs/>
          <w:sz w:val="28"/>
          <w:szCs w:val="28"/>
          <w:lang w:eastAsia="ru-RU"/>
        </w:rPr>
        <w:t xml:space="preserve"> </w:t>
      </w:r>
      <w:r w:rsidR="003C1BD5" w:rsidRPr="00E83CEA">
        <w:rPr>
          <w:rFonts w:ascii="Times New Roman" w:eastAsia="Times New Roman" w:hAnsi="Times New Roman" w:cs="Times New Roman"/>
          <w:sz w:val="28"/>
          <w:szCs w:val="28"/>
          <w:lang w:eastAsia="ru-RU"/>
        </w:rPr>
        <w:t xml:space="preserve">Федерального закона </w:t>
      </w:r>
      <w:r w:rsidRPr="00E83CEA">
        <w:rPr>
          <w:rFonts w:ascii="Times New Roman" w:eastAsia="Times New Roman" w:hAnsi="Times New Roman" w:cs="Times New Roman"/>
          <w:sz w:val="28"/>
          <w:szCs w:val="28"/>
          <w:lang w:eastAsia="ru-RU"/>
        </w:rPr>
        <w:t>от 26.10.2002 № 127-ФЗ «</w:t>
      </w:r>
      <w:r w:rsidRPr="00D9651E">
        <w:rPr>
          <w:rFonts w:ascii="Times New Roman" w:eastAsia="Times New Roman" w:hAnsi="Times New Roman" w:cs="Times New Roman"/>
          <w:sz w:val="28"/>
          <w:szCs w:val="28"/>
          <w:lang w:eastAsia="ru-RU"/>
        </w:rPr>
        <w:t>О несостоятельности (банкротстве)</w:t>
      </w:r>
      <w:r w:rsidRPr="00E83CEA">
        <w:rPr>
          <w:rFonts w:ascii="Times New Roman" w:eastAsia="Times New Roman" w:hAnsi="Times New Roman" w:cs="Times New Roman"/>
          <w:sz w:val="28"/>
          <w:szCs w:val="28"/>
          <w:lang w:eastAsia="ru-RU"/>
        </w:rPr>
        <w:t xml:space="preserve">» </w:t>
      </w:r>
      <w:r w:rsidR="00505669">
        <w:rPr>
          <w:rFonts w:ascii="Times New Roman" w:eastAsia="Times New Roman" w:hAnsi="Times New Roman" w:cs="Times New Roman"/>
          <w:sz w:val="28"/>
          <w:szCs w:val="28"/>
          <w:lang w:eastAsia="ru-RU"/>
        </w:rPr>
        <w:t xml:space="preserve">(далее – Закон) </w:t>
      </w:r>
      <w:r w:rsidRPr="00E83CEA">
        <w:rPr>
          <w:rFonts w:ascii="Times New Roman" w:eastAsia="Times New Roman" w:hAnsi="Times New Roman" w:cs="Times New Roman"/>
          <w:sz w:val="28"/>
          <w:szCs w:val="28"/>
          <w:lang w:eastAsia="ru-RU"/>
        </w:rPr>
        <w:t xml:space="preserve">регулирует процедуру </w:t>
      </w:r>
      <w:r w:rsidRPr="00E83CEA">
        <w:rPr>
          <w:rFonts w:ascii="Times New Roman" w:eastAsia="Times New Roman" w:hAnsi="Times New Roman" w:cs="Times New Roman"/>
          <w:sz w:val="28"/>
          <w:szCs w:val="28"/>
          <w:lang w:eastAsia="ru-RU"/>
        </w:rPr>
        <w:t>банкротства граждан</w:t>
      </w:r>
      <w:r w:rsidRPr="00E83CEA">
        <w:rPr>
          <w:rFonts w:ascii="Times New Roman" w:eastAsia="Times New Roman" w:hAnsi="Times New Roman" w:cs="Times New Roman"/>
          <w:sz w:val="28"/>
          <w:szCs w:val="28"/>
          <w:lang w:eastAsia="ru-RU"/>
        </w:rPr>
        <w:t>.</w:t>
      </w:r>
    </w:p>
    <w:p w:rsidR="00FF18EE" w:rsidRPr="00FF18EE" w:rsidRDefault="00FF18EE" w:rsidP="00E83CEA">
      <w:pPr>
        <w:spacing w:after="0" w:line="240" w:lineRule="auto"/>
        <w:ind w:firstLine="709"/>
        <w:jc w:val="both"/>
        <w:rPr>
          <w:rFonts w:ascii="Times New Roman" w:eastAsia="Times New Roman" w:hAnsi="Times New Roman" w:cs="Times New Roman"/>
          <w:sz w:val="28"/>
          <w:szCs w:val="28"/>
          <w:lang w:eastAsia="ru-RU"/>
        </w:rPr>
      </w:pPr>
      <w:r w:rsidRPr="00FF18EE">
        <w:rPr>
          <w:rFonts w:ascii="Times New Roman" w:eastAsia="Times New Roman" w:hAnsi="Times New Roman" w:cs="Times New Roman"/>
          <w:sz w:val="28"/>
          <w:szCs w:val="28"/>
          <w:lang w:eastAsia="ru-RU"/>
        </w:rPr>
        <w:t xml:space="preserve">При рассмотрении дела о банкротстве гражданина применяются реструктуризация долгов гражданина, реализация имущества гражданина, мировое соглашение. </w:t>
      </w:r>
    </w:p>
    <w:p w:rsidR="00FF18EE" w:rsidRPr="00FF18EE" w:rsidRDefault="00FF18EE" w:rsidP="00E83CEA">
      <w:pPr>
        <w:spacing w:after="0" w:line="240" w:lineRule="auto"/>
        <w:ind w:firstLine="709"/>
        <w:jc w:val="both"/>
        <w:rPr>
          <w:rFonts w:ascii="Times New Roman" w:eastAsia="Times New Roman" w:hAnsi="Times New Roman" w:cs="Times New Roman"/>
          <w:sz w:val="28"/>
          <w:szCs w:val="28"/>
          <w:lang w:eastAsia="ru-RU"/>
        </w:rPr>
      </w:pPr>
      <w:r w:rsidRPr="00FF18EE">
        <w:rPr>
          <w:rFonts w:ascii="Times New Roman" w:eastAsia="Times New Roman" w:hAnsi="Times New Roman" w:cs="Times New Roman"/>
          <w:sz w:val="28"/>
          <w:szCs w:val="28"/>
          <w:lang w:eastAsia="ru-RU"/>
        </w:rPr>
        <w:t xml:space="preserve">Правом на обращение в арбитражный суд с заявлением о признании гражданина банкротом обладают гражданин, конкурсный кредитор, уполномоченный орган. </w:t>
      </w:r>
    </w:p>
    <w:p w:rsidR="00FF18EE" w:rsidRPr="00FF18EE" w:rsidRDefault="00FF18EE" w:rsidP="00E83CEA">
      <w:pPr>
        <w:spacing w:after="0" w:line="240" w:lineRule="auto"/>
        <w:ind w:firstLine="709"/>
        <w:jc w:val="both"/>
        <w:rPr>
          <w:rFonts w:ascii="Times New Roman" w:eastAsia="Times New Roman" w:hAnsi="Times New Roman" w:cs="Times New Roman"/>
          <w:sz w:val="28"/>
          <w:szCs w:val="28"/>
          <w:lang w:eastAsia="ru-RU"/>
        </w:rPr>
      </w:pPr>
      <w:r w:rsidRPr="00FF18EE">
        <w:rPr>
          <w:rFonts w:ascii="Times New Roman" w:eastAsia="Times New Roman" w:hAnsi="Times New Roman" w:cs="Times New Roman"/>
          <w:sz w:val="28"/>
          <w:szCs w:val="28"/>
          <w:lang w:eastAsia="ru-RU"/>
        </w:rPr>
        <w:t xml:space="preserve">Заявление о признании гражданина банкротом принимается арбитражным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быть исполнены, если иное не предусмотрено настоящим Федеральным законом.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Гражданин обязан обратиться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не позднее тридцати рабочих дней со дня, когда он узнал или должен был узнать об этом.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неплатежеспособности и (или) признакам недостаточности имущества.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Наряду с документами, предусмотренными процессуальным законодательством, к заявлению о признании гражданина банкротом прилагаются: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документы, подтверждающие наличие задолженности, основание ее возникновения и неспособность гражданина удовлетворить требования кредиторов в полном объеме;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документы,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 Такие документы должны быть получены не ранее чем за пять рабочих дней до даты подачи в арбитражный суд гражданином заявления о признании его банкротом;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lastRenderedPageBreak/>
        <w:t xml:space="preserve">списки кредиторов и должников гражданина с указанием их наименования или фамилии, имени, отчества, суммы кредиторской и дебиторской задолженности, места нахождения или места жительства кредиторов и должников гражданина, а также с указанием отдельно денежных обязательств и (или) обязанности по уплате обязательных платежей, которые возникли в результате осуществления гражданином предпринимательской деятельности. Форма представления указанных списков утверждается регулирующим органом;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копии документов, подтверждающих право собственности гражданина на имущество, и документов, удостоверяющих исключительные права на результаты интеллектуальной деятельности гражданина (при наличии);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копии документов о совершавшихся гражданином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свыше трехсот тысяч рублей (при наличии); </w:t>
      </w:r>
    </w:p>
    <w:p w:rsidR="00E83CEA" w:rsidRPr="00E83CEA" w:rsidRDefault="00A70C29" w:rsidP="00E83C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документы, определенные ст. 213.4 </w:t>
      </w:r>
      <w:r w:rsidR="00505669">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акона.</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В заявлении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в депозит арбитражного суда. </w:t>
      </w:r>
    </w:p>
    <w:p w:rsidR="00E83CEA" w:rsidRPr="00E83CEA" w:rsidRDefault="00E83CEA" w:rsidP="00E83CEA">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 </w:t>
      </w:r>
    </w:p>
    <w:p w:rsidR="00E83CEA" w:rsidRPr="00505669" w:rsidRDefault="00E83CEA" w:rsidP="00505669">
      <w:pPr>
        <w:spacing w:after="0" w:line="240" w:lineRule="auto"/>
        <w:ind w:firstLine="709"/>
        <w:jc w:val="both"/>
        <w:rPr>
          <w:rFonts w:ascii="Times New Roman" w:eastAsia="Times New Roman" w:hAnsi="Times New Roman" w:cs="Times New Roman"/>
          <w:sz w:val="28"/>
          <w:szCs w:val="28"/>
          <w:lang w:eastAsia="ru-RU"/>
        </w:rPr>
      </w:pPr>
      <w:r w:rsidRPr="00E83CEA">
        <w:rPr>
          <w:rFonts w:ascii="Times New Roman" w:eastAsia="Times New Roman" w:hAnsi="Times New Roman" w:cs="Times New Roman"/>
          <w:sz w:val="28"/>
          <w:szCs w:val="28"/>
          <w:lang w:eastAsia="ru-RU"/>
        </w:rPr>
        <w:t xml:space="preserve">Гражданин вправе дать согласие на привлечение лиц, обеспечивающих исполнение возложенных на финансового управляющего обязанностей. В этом случае в заявлении о признании гражданина банкротом должен быть указан максимальный размер осуществляемых за счет гражданина расходов финансового управляющего на оплату услуг привлекаемых лиц. Сумма указанных расходов вносится гражданином в депозит арбитражного суда. По ходатайству гражданина арбитражный суд вправе предоставить гражданину отсрочку внесения этой суммы.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Арбитражный суд принимает решение о признании гражданина банкротом в случае, если: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lastRenderedPageBreak/>
        <w:t xml:space="preserve">гражданином, конкурсными кредиторами и (или) уполномоченным органом не представлен план реструктуризации долгов гражданина в течение срока, установленного настоящим Федеральным законом;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собранием кредиторов не одобрен план реструктуризации долгов гражданина, за исключением случая, предусмотренн</w:t>
      </w:r>
      <w:r>
        <w:rPr>
          <w:rFonts w:ascii="Times New Roman" w:eastAsia="Times New Roman" w:hAnsi="Times New Roman" w:cs="Times New Roman"/>
          <w:sz w:val="28"/>
          <w:szCs w:val="28"/>
          <w:lang w:eastAsia="ru-RU"/>
        </w:rPr>
        <w:t>ых З</w:t>
      </w:r>
      <w:r w:rsidRPr="00505669">
        <w:rPr>
          <w:rFonts w:ascii="Times New Roman" w:eastAsia="Times New Roman" w:hAnsi="Times New Roman" w:cs="Times New Roman"/>
          <w:sz w:val="28"/>
          <w:szCs w:val="28"/>
          <w:lang w:eastAsia="ru-RU"/>
        </w:rPr>
        <w:t>акон</w:t>
      </w:r>
      <w:r>
        <w:rPr>
          <w:rFonts w:ascii="Times New Roman" w:eastAsia="Times New Roman" w:hAnsi="Times New Roman" w:cs="Times New Roman"/>
          <w:sz w:val="28"/>
          <w:szCs w:val="28"/>
          <w:lang w:eastAsia="ru-RU"/>
        </w:rPr>
        <w:t>ом</w:t>
      </w:r>
      <w:r w:rsidRPr="00505669">
        <w:rPr>
          <w:rFonts w:ascii="Times New Roman" w:eastAsia="Times New Roman" w:hAnsi="Times New Roman" w:cs="Times New Roman"/>
          <w:sz w:val="28"/>
          <w:szCs w:val="28"/>
          <w:lang w:eastAsia="ru-RU"/>
        </w:rPr>
        <w:t xml:space="preserve">;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арбитражным судом отменен план реструктуризации долгов гражданина;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производство по делу о банкротстве гражданина возобновлено в случаях, установленных </w:t>
      </w:r>
      <w:r>
        <w:rPr>
          <w:rFonts w:ascii="Times New Roman" w:eastAsia="Times New Roman" w:hAnsi="Times New Roman" w:cs="Times New Roman"/>
          <w:sz w:val="28"/>
          <w:szCs w:val="28"/>
          <w:lang w:eastAsia="ru-RU"/>
        </w:rPr>
        <w:t>З</w:t>
      </w:r>
      <w:r w:rsidRPr="00505669">
        <w:rPr>
          <w:rFonts w:ascii="Times New Roman" w:eastAsia="Times New Roman" w:hAnsi="Times New Roman" w:cs="Times New Roman"/>
          <w:sz w:val="28"/>
          <w:szCs w:val="28"/>
          <w:lang w:eastAsia="ru-RU"/>
        </w:rPr>
        <w:t>акон</w:t>
      </w:r>
      <w:r>
        <w:rPr>
          <w:rFonts w:ascii="Times New Roman" w:eastAsia="Times New Roman" w:hAnsi="Times New Roman" w:cs="Times New Roman"/>
          <w:sz w:val="28"/>
          <w:szCs w:val="28"/>
          <w:lang w:eastAsia="ru-RU"/>
        </w:rPr>
        <w:t>ом</w:t>
      </w:r>
      <w:r w:rsidRPr="00505669">
        <w:rPr>
          <w:rFonts w:ascii="Times New Roman" w:eastAsia="Times New Roman" w:hAnsi="Times New Roman" w:cs="Times New Roman"/>
          <w:sz w:val="28"/>
          <w:szCs w:val="28"/>
          <w:lang w:eastAsia="ru-RU"/>
        </w:rPr>
        <w:t xml:space="preserve">;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в иных случаях, предусмотренных </w:t>
      </w:r>
      <w:r>
        <w:rPr>
          <w:rFonts w:ascii="Times New Roman" w:eastAsia="Times New Roman" w:hAnsi="Times New Roman" w:cs="Times New Roman"/>
          <w:sz w:val="28"/>
          <w:szCs w:val="28"/>
          <w:lang w:eastAsia="ru-RU"/>
        </w:rPr>
        <w:t>З</w:t>
      </w:r>
      <w:r w:rsidRPr="00505669">
        <w:rPr>
          <w:rFonts w:ascii="Times New Roman" w:eastAsia="Times New Roman" w:hAnsi="Times New Roman" w:cs="Times New Roman"/>
          <w:sz w:val="28"/>
          <w:szCs w:val="28"/>
          <w:lang w:eastAsia="ru-RU"/>
        </w:rPr>
        <w:t xml:space="preserve">аконом. </w:t>
      </w:r>
    </w:p>
    <w:p w:rsidR="00505669" w:rsidRPr="00505669" w:rsidRDefault="00505669" w:rsidP="00505669">
      <w:pPr>
        <w:spacing w:after="0" w:line="240" w:lineRule="auto"/>
        <w:ind w:firstLine="709"/>
        <w:jc w:val="both"/>
        <w:rPr>
          <w:rFonts w:ascii="Times New Roman" w:eastAsia="Times New Roman" w:hAnsi="Times New Roman" w:cs="Times New Roman"/>
          <w:sz w:val="28"/>
          <w:szCs w:val="28"/>
          <w:lang w:eastAsia="ru-RU"/>
        </w:rPr>
      </w:pPr>
      <w:r w:rsidRPr="00505669">
        <w:rPr>
          <w:rFonts w:ascii="Times New Roman" w:eastAsia="Times New Roman" w:hAnsi="Times New Roman" w:cs="Times New Roman"/>
          <w:sz w:val="28"/>
          <w:szCs w:val="28"/>
          <w:lang w:eastAsia="ru-RU"/>
        </w:rPr>
        <w:t xml:space="preserve">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 </w:t>
      </w:r>
    </w:p>
    <w:p w:rsidR="002D56F5" w:rsidRDefault="002D56F5" w:rsidP="002D56F5">
      <w:pPr>
        <w:spacing w:after="0" w:line="240" w:lineRule="exact"/>
        <w:jc w:val="both"/>
        <w:rPr>
          <w:rFonts w:ascii="Times New Roman" w:hAnsi="Times New Roman" w:cs="Times New Roman"/>
          <w:sz w:val="28"/>
          <w:szCs w:val="28"/>
        </w:rPr>
      </w:pPr>
      <w:bookmarkStart w:id="1" w:name="_GoBack"/>
      <w:bookmarkEnd w:id="1"/>
    </w:p>
    <w:p w:rsidR="002D56F5" w:rsidRDefault="002D56F5" w:rsidP="002D56F5">
      <w:pPr>
        <w:spacing w:after="0" w:line="240" w:lineRule="exact"/>
        <w:jc w:val="both"/>
        <w:rPr>
          <w:rFonts w:ascii="Times New Roman" w:hAnsi="Times New Roman" w:cs="Times New Roman"/>
          <w:sz w:val="28"/>
          <w:szCs w:val="28"/>
        </w:rPr>
      </w:pPr>
    </w:p>
    <w:p w:rsidR="002D56F5" w:rsidRDefault="002D56F5" w:rsidP="002D56F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Помощник прокурора г. Омска</w:t>
      </w:r>
    </w:p>
    <w:p w:rsidR="002D56F5" w:rsidRDefault="002D56F5" w:rsidP="002D56F5">
      <w:pPr>
        <w:spacing w:after="0" w:line="240" w:lineRule="exact"/>
        <w:jc w:val="both"/>
        <w:rPr>
          <w:rFonts w:ascii="Times New Roman" w:hAnsi="Times New Roman" w:cs="Times New Roman"/>
          <w:sz w:val="28"/>
          <w:szCs w:val="28"/>
        </w:rPr>
      </w:pPr>
    </w:p>
    <w:p w:rsidR="00014320" w:rsidRPr="00F064BC" w:rsidRDefault="002D56F5" w:rsidP="00A70C2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                                                        С.А. Тимошенко</w:t>
      </w:r>
    </w:p>
    <w:sectPr w:rsidR="00014320" w:rsidRPr="00F064BC" w:rsidSect="0038121B">
      <w:headerReference w:type="default" r:id="rId6"/>
      <w:pgSz w:w="11905" w:h="16838"/>
      <w:pgMar w:top="1134" w:right="850" w:bottom="1258"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E4A" w:rsidRDefault="00825E4A" w:rsidP="00CD79BB">
      <w:pPr>
        <w:spacing w:after="0" w:line="240" w:lineRule="auto"/>
      </w:pPr>
      <w:r>
        <w:separator/>
      </w:r>
    </w:p>
  </w:endnote>
  <w:endnote w:type="continuationSeparator" w:id="0">
    <w:p w:rsidR="00825E4A" w:rsidRDefault="00825E4A" w:rsidP="00CD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E4A" w:rsidRDefault="00825E4A" w:rsidP="00CD79BB">
      <w:pPr>
        <w:spacing w:after="0" w:line="240" w:lineRule="auto"/>
      </w:pPr>
      <w:r>
        <w:separator/>
      </w:r>
    </w:p>
  </w:footnote>
  <w:footnote w:type="continuationSeparator" w:id="0">
    <w:p w:rsidR="00825E4A" w:rsidRDefault="00825E4A" w:rsidP="00CD7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8385"/>
      <w:docPartObj>
        <w:docPartGallery w:val="Page Numbers (Top of Page)"/>
        <w:docPartUnique/>
      </w:docPartObj>
    </w:sdtPr>
    <w:sdtEndPr/>
    <w:sdtContent>
      <w:p w:rsidR="0038121B" w:rsidRDefault="0038121B">
        <w:pPr>
          <w:pStyle w:val="a3"/>
          <w:jc w:val="center"/>
        </w:pPr>
      </w:p>
      <w:p w:rsidR="0038121B" w:rsidRDefault="00350D2E">
        <w:pPr>
          <w:pStyle w:val="a3"/>
          <w:jc w:val="center"/>
        </w:pPr>
        <w:r>
          <w:fldChar w:fldCharType="begin"/>
        </w:r>
        <w:r>
          <w:instrText xml:space="preserve"> PAGE   \* MERGEFORMAT </w:instrText>
        </w:r>
        <w:r>
          <w:fldChar w:fldCharType="separate"/>
        </w:r>
        <w:r w:rsidR="003454DB">
          <w:rPr>
            <w:noProof/>
          </w:rPr>
          <w:t>3</w:t>
        </w:r>
        <w:r>
          <w:rPr>
            <w:noProof/>
          </w:rPr>
          <w:fldChar w:fldCharType="end"/>
        </w:r>
      </w:p>
    </w:sdtContent>
  </w:sdt>
  <w:p w:rsidR="00CD79BB" w:rsidRDefault="00CD79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64BC"/>
    <w:rsid w:val="00014320"/>
    <w:rsid w:val="000B7F42"/>
    <w:rsid w:val="001812D1"/>
    <w:rsid w:val="001B7415"/>
    <w:rsid w:val="002D56F5"/>
    <w:rsid w:val="002F0053"/>
    <w:rsid w:val="003454DB"/>
    <w:rsid w:val="00350D2E"/>
    <w:rsid w:val="003801BF"/>
    <w:rsid w:val="0038121B"/>
    <w:rsid w:val="00391B8C"/>
    <w:rsid w:val="003C1BD5"/>
    <w:rsid w:val="0045577D"/>
    <w:rsid w:val="004D16AA"/>
    <w:rsid w:val="00505669"/>
    <w:rsid w:val="0052245A"/>
    <w:rsid w:val="005464BC"/>
    <w:rsid w:val="0063107D"/>
    <w:rsid w:val="00816137"/>
    <w:rsid w:val="00825E4A"/>
    <w:rsid w:val="008712CD"/>
    <w:rsid w:val="009D381C"/>
    <w:rsid w:val="009D7882"/>
    <w:rsid w:val="00A70C29"/>
    <w:rsid w:val="00B259EF"/>
    <w:rsid w:val="00C11B5C"/>
    <w:rsid w:val="00C5608E"/>
    <w:rsid w:val="00CC36FD"/>
    <w:rsid w:val="00CD79BB"/>
    <w:rsid w:val="00D03992"/>
    <w:rsid w:val="00D9651E"/>
    <w:rsid w:val="00E35E13"/>
    <w:rsid w:val="00E83CEA"/>
    <w:rsid w:val="00F064BC"/>
    <w:rsid w:val="00F8322B"/>
    <w:rsid w:val="00FF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C265"/>
  <w15:docId w15:val="{C7F214BE-5A9A-4E7E-9B50-898521C1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3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79BB"/>
  </w:style>
  <w:style w:type="paragraph" w:styleId="a5">
    <w:name w:val="footer"/>
    <w:basedOn w:val="a"/>
    <w:link w:val="a6"/>
    <w:uiPriority w:val="99"/>
    <w:semiHidden/>
    <w:unhideWhenUsed/>
    <w:rsid w:val="00CD79B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D79BB"/>
  </w:style>
  <w:style w:type="paragraph" w:styleId="a7">
    <w:name w:val="Balloon Text"/>
    <w:basedOn w:val="a"/>
    <w:link w:val="a8"/>
    <w:uiPriority w:val="99"/>
    <w:semiHidden/>
    <w:unhideWhenUsed/>
    <w:rsid w:val="002D56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5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08387">
      <w:bodyDiv w:val="1"/>
      <w:marLeft w:val="0"/>
      <w:marRight w:val="0"/>
      <w:marTop w:val="0"/>
      <w:marBottom w:val="0"/>
      <w:divBdr>
        <w:top w:val="none" w:sz="0" w:space="0" w:color="auto"/>
        <w:left w:val="none" w:sz="0" w:space="0" w:color="auto"/>
        <w:bottom w:val="none" w:sz="0" w:space="0" w:color="auto"/>
        <w:right w:val="none" w:sz="0" w:space="0" w:color="auto"/>
      </w:divBdr>
    </w:div>
    <w:div w:id="355621628">
      <w:bodyDiv w:val="1"/>
      <w:marLeft w:val="0"/>
      <w:marRight w:val="0"/>
      <w:marTop w:val="0"/>
      <w:marBottom w:val="0"/>
      <w:divBdr>
        <w:top w:val="none" w:sz="0" w:space="0" w:color="auto"/>
        <w:left w:val="none" w:sz="0" w:space="0" w:color="auto"/>
        <w:bottom w:val="none" w:sz="0" w:space="0" w:color="auto"/>
        <w:right w:val="none" w:sz="0" w:space="0" w:color="auto"/>
      </w:divBdr>
      <w:divsChild>
        <w:div w:id="1219168089">
          <w:marLeft w:val="0"/>
          <w:marRight w:val="0"/>
          <w:marTop w:val="0"/>
          <w:marBottom w:val="0"/>
          <w:divBdr>
            <w:top w:val="none" w:sz="0" w:space="0" w:color="auto"/>
            <w:left w:val="none" w:sz="0" w:space="0" w:color="auto"/>
            <w:bottom w:val="none" w:sz="0" w:space="0" w:color="auto"/>
            <w:right w:val="none" w:sz="0" w:space="0" w:color="auto"/>
          </w:divBdr>
        </w:div>
        <w:div w:id="1964263021">
          <w:marLeft w:val="0"/>
          <w:marRight w:val="0"/>
          <w:marTop w:val="0"/>
          <w:marBottom w:val="0"/>
          <w:divBdr>
            <w:top w:val="none" w:sz="0" w:space="0" w:color="auto"/>
            <w:left w:val="none" w:sz="0" w:space="0" w:color="auto"/>
            <w:bottom w:val="none" w:sz="0" w:space="0" w:color="auto"/>
            <w:right w:val="none" w:sz="0" w:space="0" w:color="auto"/>
          </w:divBdr>
        </w:div>
        <w:div w:id="1610157794">
          <w:marLeft w:val="0"/>
          <w:marRight w:val="0"/>
          <w:marTop w:val="0"/>
          <w:marBottom w:val="0"/>
          <w:divBdr>
            <w:top w:val="none" w:sz="0" w:space="0" w:color="auto"/>
            <w:left w:val="none" w:sz="0" w:space="0" w:color="auto"/>
            <w:bottom w:val="none" w:sz="0" w:space="0" w:color="auto"/>
            <w:right w:val="none" w:sz="0" w:space="0" w:color="auto"/>
          </w:divBdr>
        </w:div>
        <w:div w:id="2108113750">
          <w:marLeft w:val="0"/>
          <w:marRight w:val="0"/>
          <w:marTop w:val="0"/>
          <w:marBottom w:val="0"/>
          <w:divBdr>
            <w:top w:val="none" w:sz="0" w:space="0" w:color="auto"/>
            <w:left w:val="none" w:sz="0" w:space="0" w:color="auto"/>
            <w:bottom w:val="none" w:sz="0" w:space="0" w:color="auto"/>
            <w:right w:val="none" w:sz="0" w:space="0" w:color="auto"/>
          </w:divBdr>
        </w:div>
        <w:div w:id="1285890788">
          <w:marLeft w:val="0"/>
          <w:marRight w:val="0"/>
          <w:marTop w:val="0"/>
          <w:marBottom w:val="0"/>
          <w:divBdr>
            <w:top w:val="none" w:sz="0" w:space="0" w:color="auto"/>
            <w:left w:val="none" w:sz="0" w:space="0" w:color="auto"/>
            <w:bottom w:val="none" w:sz="0" w:space="0" w:color="auto"/>
            <w:right w:val="none" w:sz="0" w:space="0" w:color="auto"/>
          </w:divBdr>
        </w:div>
      </w:divsChild>
    </w:div>
    <w:div w:id="410808559">
      <w:bodyDiv w:val="1"/>
      <w:marLeft w:val="0"/>
      <w:marRight w:val="0"/>
      <w:marTop w:val="0"/>
      <w:marBottom w:val="0"/>
      <w:divBdr>
        <w:top w:val="none" w:sz="0" w:space="0" w:color="auto"/>
        <w:left w:val="none" w:sz="0" w:space="0" w:color="auto"/>
        <w:bottom w:val="none" w:sz="0" w:space="0" w:color="auto"/>
        <w:right w:val="none" w:sz="0" w:space="0" w:color="auto"/>
      </w:divBdr>
    </w:div>
    <w:div w:id="420688861">
      <w:bodyDiv w:val="1"/>
      <w:marLeft w:val="0"/>
      <w:marRight w:val="0"/>
      <w:marTop w:val="0"/>
      <w:marBottom w:val="0"/>
      <w:divBdr>
        <w:top w:val="none" w:sz="0" w:space="0" w:color="auto"/>
        <w:left w:val="none" w:sz="0" w:space="0" w:color="auto"/>
        <w:bottom w:val="none" w:sz="0" w:space="0" w:color="auto"/>
        <w:right w:val="none" w:sz="0" w:space="0" w:color="auto"/>
      </w:divBdr>
    </w:div>
    <w:div w:id="771558993">
      <w:bodyDiv w:val="1"/>
      <w:marLeft w:val="0"/>
      <w:marRight w:val="0"/>
      <w:marTop w:val="0"/>
      <w:marBottom w:val="0"/>
      <w:divBdr>
        <w:top w:val="none" w:sz="0" w:space="0" w:color="auto"/>
        <w:left w:val="none" w:sz="0" w:space="0" w:color="auto"/>
        <w:bottom w:val="none" w:sz="0" w:space="0" w:color="auto"/>
        <w:right w:val="none" w:sz="0" w:space="0" w:color="auto"/>
      </w:divBdr>
    </w:div>
    <w:div w:id="1003628896">
      <w:bodyDiv w:val="1"/>
      <w:marLeft w:val="0"/>
      <w:marRight w:val="0"/>
      <w:marTop w:val="0"/>
      <w:marBottom w:val="0"/>
      <w:divBdr>
        <w:top w:val="none" w:sz="0" w:space="0" w:color="auto"/>
        <w:left w:val="none" w:sz="0" w:space="0" w:color="auto"/>
        <w:bottom w:val="none" w:sz="0" w:space="0" w:color="auto"/>
        <w:right w:val="none" w:sz="0" w:space="0" w:color="auto"/>
      </w:divBdr>
      <w:divsChild>
        <w:div w:id="1663193038">
          <w:marLeft w:val="0"/>
          <w:marRight w:val="0"/>
          <w:marTop w:val="0"/>
          <w:marBottom w:val="0"/>
          <w:divBdr>
            <w:top w:val="none" w:sz="0" w:space="0" w:color="auto"/>
            <w:left w:val="none" w:sz="0" w:space="0" w:color="auto"/>
            <w:bottom w:val="none" w:sz="0" w:space="0" w:color="auto"/>
            <w:right w:val="none" w:sz="0" w:space="0" w:color="auto"/>
          </w:divBdr>
        </w:div>
        <w:div w:id="617613437">
          <w:marLeft w:val="0"/>
          <w:marRight w:val="0"/>
          <w:marTop w:val="0"/>
          <w:marBottom w:val="0"/>
          <w:divBdr>
            <w:top w:val="none" w:sz="0" w:space="0" w:color="auto"/>
            <w:left w:val="none" w:sz="0" w:space="0" w:color="auto"/>
            <w:bottom w:val="none" w:sz="0" w:space="0" w:color="auto"/>
            <w:right w:val="none" w:sz="0" w:space="0" w:color="auto"/>
          </w:divBdr>
        </w:div>
      </w:divsChild>
    </w:div>
    <w:div w:id="1218205092">
      <w:bodyDiv w:val="1"/>
      <w:marLeft w:val="0"/>
      <w:marRight w:val="0"/>
      <w:marTop w:val="0"/>
      <w:marBottom w:val="0"/>
      <w:divBdr>
        <w:top w:val="none" w:sz="0" w:space="0" w:color="auto"/>
        <w:left w:val="none" w:sz="0" w:space="0" w:color="auto"/>
        <w:bottom w:val="none" w:sz="0" w:space="0" w:color="auto"/>
        <w:right w:val="none" w:sz="0" w:space="0" w:color="auto"/>
      </w:divBdr>
    </w:div>
    <w:div w:id="14888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451894">
          <w:marLeft w:val="0"/>
          <w:marRight w:val="0"/>
          <w:marTop w:val="0"/>
          <w:marBottom w:val="0"/>
          <w:divBdr>
            <w:top w:val="none" w:sz="0" w:space="0" w:color="auto"/>
            <w:left w:val="none" w:sz="0" w:space="0" w:color="auto"/>
            <w:bottom w:val="none" w:sz="0" w:space="0" w:color="auto"/>
            <w:right w:val="none" w:sz="0" w:space="0" w:color="auto"/>
          </w:divBdr>
        </w:div>
      </w:divsChild>
    </w:div>
    <w:div w:id="1709795786">
      <w:bodyDiv w:val="1"/>
      <w:marLeft w:val="0"/>
      <w:marRight w:val="0"/>
      <w:marTop w:val="0"/>
      <w:marBottom w:val="0"/>
      <w:divBdr>
        <w:top w:val="none" w:sz="0" w:space="0" w:color="auto"/>
        <w:left w:val="none" w:sz="0" w:space="0" w:color="auto"/>
        <w:bottom w:val="none" w:sz="0" w:space="0" w:color="auto"/>
        <w:right w:val="none" w:sz="0" w:space="0" w:color="auto"/>
      </w:divBdr>
    </w:div>
    <w:div w:id="19476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Umrihin.P</dc:creator>
  <cp:keywords/>
  <dc:description/>
  <cp:lastModifiedBy>Тимошенко Сергей Александрович</cp:lastModifiedBy>
  <cp:revision>13</cp:revision>
  <cp:lastPrinted>2021-06-01T05:55:00Z</cp:lastPrinted>
  <dcterms:created xsi:type="dcterms:W3CDTF">2021-06-01T05:48:00Z</dcterms:created>
  <dcterms:modified xsi:type="dcterms:W3CDTF">2022-10-26T03:48:00Z</dcterms:modified>
</cp:coreProperties>
</file>