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6F" w:rsidRDefault="00CB4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CB4EFD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Техники нейролингвистического программирования в преподавании русского языка </w:t>
      </w:r>
    </w:p>
    <w:p w:rsidR="00CB4EFD" w:rsidRPr="00CB4EFD" w:rsidRDefault="00CB4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EFD" w:rsidRPr="00CB4EFD" w:rsidRDefault="00CB4EFD" w:rsidP="00CB4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Труфанова Юлиана Анатольевна</w:t>
      </w:r>
      <w:r w:rsidRPr="00CB4E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CB4EFD" w:rsidRPr="00CB4EFD" w:rsidRDefault="00CB4EFD" w:rsidP="00CB4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преподаватель</w:t>
      </w:r>
      <w:r w:rsidRPr="00CB4EF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B4EFD" w:rsidRPr="00CB4EFD" w:rsidRDefault="00CB4EFD" w:rsidP="00CB4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4EFD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Государственное автономное профессиональное </w:t>
      </w:r>
    </w:p>
    <w:p w:rsidR="00CB4EFD" w:rsidRPr="00CB4EFD" w:rsidRDefault="00CB4EFD" w:rsidP="00CB4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4EF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образовательное учреждение Мурманской области </w:t>
      </w:r>
    </w:p>
    <w:p w:rsidR="00CB4EFD" w:rsidRPr="00CB4EFD" w:rsidRDefault="00CB4EFD" w:rsidP="00CB4E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4EFD">
        <w:rPr>
          <w:rFonts w:ascii="Times New Roman" w:hAnsi="Times New Roman" w:cs="Times New Roman"/>
          <w:color w:val="000000"/>
          <w:sz w:val="24"/>
          <w:szCs w:val="24"/>
        </w:rPr>
        <w:t xml:space="preserve"> «Мурманский медицинский колледж»</w:t>
      </w:r>
    </w:p>
    <w:p w:rsidR="0050486F" w:rsidRPr="00CB4EFD" w:rsidRDefault="00504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0486F" w:rsidRPr="00CB4EFD" w:rsidRDefault="00DA4133" w:rsidP="00CB4E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сегодняшний день Федеральный Государственный Образовательный Стандарт нового поколения направлен на реализацию качественно новой личностно ориентированной развивающей модели образования. Личностно ориентированный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подход призван обеспечить выполнение основных задач, среди которых развитие личности обучающегося, его творческих способностей, а также формирование желания и умения учиться.</w:t>
      </w:r>
      <w:r w:rsidRPr="00CB4EFD">
        <w:rPr>
          <w:rFonts w:ascii="Times New Roman" w:eastAsia="Times New Roman" w:hAnsi="Times New Roman" w:cs="Times New Roman"/>
          <w:sz w:val="24"/>
          <w:szCs w:val="24"/>
        </w:rPr>
        <w:t xml:space="preserve"> При использовании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личностно ориентированных технологий используются методы и сред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ства обучения и воспитания, основанные на психофизиологической диагностике индивидуальных особенностей обучающихся, что в корне перестраивает суть образования. В связи с этим хотелось бы обратить внимание на одно из современных направлений психологии – ней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ролингвистическое программирование (</w:t>
      </w:r>
      <w:r w:rsid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далее </w:t>
      </w:r>
      <w:r w:rsidR="00CB4EFD"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–</w:t>
      </w:r>
      <w:r w:rsid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НЛП).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НЛП возникло </w:t>
      </w:r>
      <w:proofErr w:type="gram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в начале</w:t>
      </w:r>
      <w:proofErr w:type="gram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1970-х в Калифорнии в Университете Санта-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Круз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где Джон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Гриндер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Ричард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Бэндлер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изучали действия трех выдающихся психотерапевтов: Фрица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Перлза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основателя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гештальт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-терапии, Вирджинии Сатир, семейного терапевта, и Милтона Эриксона, вс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емирно известного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гипнотерапевта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НЛП </w:t>
      </w:r>
      <w:proofErr w:type="gram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вбирало в себя лучшие методы практической психологии и было</w:t>
      </w:r>
      <w:proofErr w:type="gram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весьма эклектично. Нейролингвистическое программирование – это поведенческая модель и набор определенных навыков и техник. Кроме того, это изучение субъективн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ого опыта, «паттернов» (программ поведения), которые создают эффективное или неэффективное поведение. Рассмотрим составляющие данного термина.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Нейро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говорит об отношении к мышлению или чувственному восприятию, к процессам, протекающим в нервной системе и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играющим важную роль в формировании человеческого поведения, а также к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нейрологическим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процессам в сфере восприятия (зрение, слух, тактильные ощущения, вкус и обоняние). 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Лингвистический</w:t>
      </w:r>
      <w:proofErr w:type="gram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отсылает нас к языковым моделям, играющим важную роль в достижении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взаимопонимания между людьми, на чем и держатся все коммуникационные процессы.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Программирование – указывает на тот способ, при помощи которого мы организовываем наше мышление, включая чувства и убеждения, чтобы в конечном итоге достичь поставленных целей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– подобно тому, как мы используем компьютер для решения каких-либо конкретных задач при помощи соответствующего программного обеспечения [1:</w:t>
      </w:r>
      <w:r w:rsidRPr="00CB4EFD">
        <w:rPr>
          <w:rFonts w:ascii="Times New Roman" w:hAnsi="Times New Roman" w:cs="Times New Roman"/>
          <w:sz w:val="24"/>
          <w:szCs w:val="24"/>
        </w:rPr>
        <w:t xml:space="preserve">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198]. 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НЛП имеет под собой четыре базиса: раппорт, т.е. установление доверительных отношений, сенсорная чувствитель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ность, ориентация на результат, гибкость поведения.     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НЛП успешно применяется в обучении разных возрастных групп.  НЛП-техники позволяют корректировать возникающие на учебных занятиях трудности, так как индивидуальные стратегии построены на основе лично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стных особенностей каждого обучающегося. Одной из основных задач НЛП в обучении является персонализация подхода преподавателя </w:t>
      </w:r>
      <w:proofErr w:type="gram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proofErr w:type="gram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обучающимся. 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Как известно, все люди имеют разные репрезентативные системы. По некоторым данным, у 40% людей преобладает визуаль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ный канал, у 40% – аудиальный, у 20% – кинестетический. Исторически ведущей системой внутреннего опыта является кинестетическая система, впоследствии особое распространение получает визуальная система. Предполагается, что социальный опыт и знания не могут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быть переданы непосредственно через ощущения. Успешность обучения, понимаемая в НЛП как объем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запомненной информации, зависит от развития визуальной системы как ключевой и репрезентирующей у большинства людей. Это может быть объяснено тем, что физиологичес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кая емкость зрительного канала на несколько порядков превосходит кинестетический, а яркие объемные образы позволяют получаемый объем информации эффективно организовывать во «внутренние карты» [4:126]. 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связи  </w:t>
      </w:r>
      <w:r w:rsid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тем, что обучающиеся отличаются друг от друга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способам усвоения учебного материала,  к каждому необходим индивидуальный подход, своя презентация материала, учитывающая ведущую  репрезентативную систему.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Визуалы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, например, лучше воспринимают информацию в зрительных образах (текст в книгах, записи н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 доске, видеоматериалы, схемы),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аудиалы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лучше воспринимают тексты на слух, участвуют в дискуссиях,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кинестетики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лучше усваивают материал в ролевых играх, в работе у доски, через моторные навыки («память руки»). Определить ведущую репрезентативную систему ч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еловека можно с помощью ключей глазного доступа и речевых предикатов.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 организации обучения необходимо обращать внимание и на  основные принципы полушарной модели. М.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Гриндер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своей книге «Исправление школьного конвейера» говорит о том, что школа ориен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тирована на левополушарных учеников, чье мышление логично, линейно, тогда как правополушарные ученики в условиях школы испытывают стресс, в связи с особенностями своего мышления – интуитивного, хаотического, абстрактного [2:25].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Учитывая вышесказанное, мож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но сделать вывод, что основной задачей учителя является развитие всех сенсорных каналов обучающихся с учетом их полушарной модели. Для реализации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многосенсорного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обучения учителю необходимо развивать визуальную способность </w:t>
      </w:r>
      <w:proofErr w:type="gram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</w:t>
      </w:r>
      <w:proofErr w:type="gram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По словам М.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Гриндер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визуализация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это</w:t>
      </w:r>
      <w:r w:rsidRPr="00CB4EF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способность видеть слова глазами мозга» [2:36]. Левополушарные люди от природы более склонны к </w:t>
      </w:r>
      <w:proofErr w:type="gram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визуализации</w:t>
      </w:r>
      <w:proofErr w:type="gram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нежели правополушарные, которые способны видеть только конкретные объекты.   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Якорение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еще один прием в НЛП. Учителя в свое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й практике постоянно используют якорение (приветствие учителя, организационный момент урока и т.д.). Однако проблема в том, что зачастую в школе устанавливают негативное якорение, что вызывает неприятные ассоциации с предметом, вплоть до «школьных фобий»,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и, следовательно, это вызывает блокирование способности к обучению. Якорение должно быть положительным.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Весьма продуктивным является использование на  занятиях </w:t>
      </w:r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метафор,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коротких</w:t>
      </w:r>
      <w:r w:rsidRPr="00CB4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притч, способных воздействовать на оба полушария и сознание ребенка, активизир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овать мышление, память. Метафору не нужно объяснять, каждый воспринимает рассказанное так, как это удобно и важно для него. Можно применять и различные </w:t>
      </w:r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релаксационные упражнения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, помогающие активизировать психические процессы и способствующие снятию учебно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го стресса и расслаблению.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Важными условиями эффективности урока с позиции нейролингвистического программирования М.А. Павлова считает: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 Начало урока с позитивного якоря. Если обучение ассоциируется с чем-то приятным </w:t>
      </w:r>
      <w:r w:rsidR="00773494"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–</w:t>
      </w:r>
      <w:r w:rsidR="007734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оно эффективно.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2. Мотивация на обучение. Создайте причину для учебы, связанную с семантикой самого ребенка.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3. Использование на уроке правополушарного и левополушарного подхода, укрупнение-разукрупнение информации (определите наименьший кусок, с которого можно начинать процесс обучения), операция сравнения (что общего и что различного), полимодальная речь (испол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ьзование предикатов всех трех систем), ключи глазного доступа, учет разных репрезентативных систем. Информация, поданная по всем трем модальностям, воспринимается как реальная.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4. Использование состояния непонимания. Одни, когда начинают не понимать, злятс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я и теряют информацию, другие используют это состояние. Ошибка - тоже результат деятельности. Непонимание - дверь к пониманию. Найдите что-то, что было сделано хорошо.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5. Сравнивайте успехи ученика с его собственным прошлым состоянием, а не с успехами друг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их. Реже говорите частицу НЕ.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6. Позитивное якорение.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7. Обмен стратегиями, использование эффективных стратегий.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8. Поддержание группового и индивидуального раппорта. [3:6].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Анализируя научные работы ведущих </w:t>
      </w:r>
      <w:proofErr w:type="gram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НЛП-практиков</w:t>
      </w:r>
      <w:proofErr w:type="gram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(А. А.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Плигин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, М. А. Павлова, В. П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Белянин и др.), использующих техники НЛП в обучении, можно прийти к выводу, что это достаточно современные и эффективные технологии, отвечающие ФГОС и личностно ориентированному подходу в образовании. 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Рассмотрим применение приемов НЛП на занятиях по рус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скому языку в Мурманском Медицинском Колледже. В начале работы было проведено диагностическое исследование типов репрезентативных систем обучающихся. В эксперименте участвовало 22 человека - студенты 1 курса  специальности «Сестринское дело» в возрасте от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15 до 17 лет. Первичное исследование проходило путем тестирования на выявления ведущей репрезентативной системы и дало следующие результаты: визуально-аудиальный канал чаще всего используют 3 человека (13,6 %), аудиальный канал – 9 человек (40,9 %), аудиал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ьно-кинестетический – 6 человек (27 %), визуально-кинестетический – 1 человек (4,5 %). 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Можно сделать предварительный вывод, что доминирующим способом усвоения информации в группе является аудиальный канал. Это значит, что для большинства обучаемых эффекти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внее один раз услышать информацию, чем несколько раз ознакомиться с ней посредством чтения.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Аудиалам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проще усвоить информацию на лекции учителя, чем принимать участие в семинаре.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Аудиалы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любят говорить, их речь, как правило, размеренна, последовательна и л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огична. Качество выполняемой ими работы зависит от того, насколько доступно и полно была разъяснена задача, а шум может вызывать у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аудиалов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сильный дискомфорт и мешать их деятельности. 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Согласно технологии НЛП в начале обучения следует создать положительну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ю мотивацию для обучения и установить раппорт, т.е. доверительные отношения между преподавателем и обучающимися. Для решения этой задачи нами использовались упражнения из книги М А. Павловой «Интенсивный курс повышения грамотности на основе НЛП», например,</w:t>
      </w:r>
      <w:r w:rsidRPr="00CB4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условия хорошо сформулированной цели. Студентам предлагалось ответить на следующие вопросы: 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 Чего вы хотите </w:t>
      </w:r>
      <w:r w:rsidR="00773494">
        <w:rPr>
          <w:rFonts w:ascii="Times New Roman" w:eastAsia="Times New Roman" w:hAnsi="Times New Roman" w:cs="Times New Roman"/>
          <w:sz w:val="24"/>
          <w:szCs w:val="24"/>
          <w:highlight w:val="white"/>
        </w:rPr>
        <w:t>от занятий по русскому языку? (Г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лавное, чтобы цель была сформулирована в позитивном ключе, т.е. без участия частицы НЕ).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Как вы узнаете, что </w:t>
      </w:r>
      <w:r w:rsidR="00773494">
        <w:rPr>
          <w:rFonts w:ascii="Times New Roman" w:eastAsia="Times New Roman" w:hAnsi="Times New Roman" w:cs="Times New Roman"/>
          <w:sz w:val="24"/>
          <w:szCs w:val="24"/>
          <w:highlight w:val="white"/>
        </w:rPr>
        <w:t>вы это уже имеете? (У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мение грамотно писать). 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3. Что мешает вам достичь этой цели сейчас? [3:5]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Также выполнялось упражнение на развитие внутренней визуализации и подкрепления положительной мотивации к обучению. Студентам было предложено представить картин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ку, в которой они испытывают удовольствие от того, что их хвалят за грамотно и красиво написанную работу. Необходимо рассмотреть выражение лица того, кто хвалит, себя на картинке, услышать чьи-то благодарные голоса, послушать свой внутренний диалог. Что чу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вствует тот человек? После необходимо «войти» в картинку и пережить это радостное состояние [3:12]. Большинство студентов с интересом и удовольствием выполняли эти упражнения.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Так как необходимо представлять информацию в трех модальностях, для занятий выби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рались упражнения, которые отвечали этой задаче. Например, на занятиях по теме «Непроизносимые согласные» использовалась «игра в мяч». Замечено, что при игре в мяч закрепление материала происходит гораздо быстрее, так как, когда человеку бросают мяч, он вп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адает в состояние, подобное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конфузионному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трансу. Сознание контролирует движения. В этот момент </w:t>
      </w:r>
      <w:proofErr w:type="gram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бессознательное</w:t>
      </w:r>
      <w:proofErr w:type="gram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обучающегося занято решением вопроса – проверкой слова. Игра проводилась по следующим правилам: ведущий бросает мяч и называет слово с орфограмм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ой, задача участника игры назвать проверочное слово и определить, есть ли в слове непроизносимая согласная. 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Практика свидетельствует об эффективности данного упражнения. Входной словарный диктант показал, что большинство студентов испытывают трудности в д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анной теме. В качестве примера можно привести работу студентки Елены М. Данная работа содержала 10 ошибок и была оценена неудовлетворительно. 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proofErr w:type="spellStart"/>
      <w:proofErr w:type="gramStart"/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Безкорысный</w:t>
      </w:r>
      <w:proofErr w:type="spellEnd"/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вирусный, возрастной, жалостный, </w:t>
      </w:r>
      <w:proofErr w:type="spellStart"/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бесловесный</w:t>
      </w:r>
      <w:proofErr w:type="spellEnd"/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живописный, </w:t>
      </w:r>
      <w:proofErr w:type="spellStart"/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искуссный</w:t>
      </w:r>
      <w:proofErr w:type="spellEnd"/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лестный, ненавистный, </w:t>
      </w:r>
      <w:proofErr w:type="spellStart"/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ненасный</w:t>
      </w:r>
      <w:proofErr w:type="spellEnd"/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</w:t>
      </w:r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небесный, поверхностный, поздний, тягостный, страстный, прелестный, прекрасный, </w:t>
      </w:r>
      <w:proofErr w:type="spellStart"/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редкосный</w:t>
      </w:r>
      <w:proofErr w:type="spellEnd"/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тяжеловесный, ужасный, </w:t>
      </w:r>
      <w:proofErr w:type="spellStart"/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хлеснуть</w:t>
      </w:r>
      <w:proofErr w:type="spellEnd"/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свистнуть, </w:t>
      </w:r>
      <w:proofErr w:type="spellStart"/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целосный</w:t>
      </w:r>
      <w:proofErr w:type="spellEnd"/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частный, яростный, вкусный, </w:t>
      </w:r>
      <w:proofErr w:type="spellStart"/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сверсник</w:t>
      </w:r>
      <w:proofErr w:type="spellEnd"/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</w:t>
      </w:r>
      <w:proofErr w:type="spellStart"/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ровестник</w:t>
      </w:r>
      <w:proofErr w:type="spellEnd"/>
      <w:r w:rsidRPr="00CB4EF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. </w:t>
      </w:r>
      <w:proofErr w:type="gramEnd"/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Однако в процессе обучения, используя приемы «игры в мяч» и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стратегии орфографии, удалось улучшить результат (см. табл.</w:t>
      </w:r>
      <w:proofErr w:type="gram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)</w:t>
      </w:r>
      <w:proofErr w:type="gram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50486F" w:rsidRPr="00CB4EFD" w:rsidRDefault="0050486F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0486F" w:rsidRPr="00CB4EFD" w:rsidRDefault="00CB4EFD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Таблица</w:t>
      </w:r>
      <w:r w:rsidR="00DA4133"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="00DA4133"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Анализ выполнения словарных диктантов по теме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«Непроизносимые согласные»</w:t>
      </w:r>
    </w:p>
    <w:tbl>
      <w:tblPr>
        <w:tblStyle w:val="ac"/>
        <w:tblW w:w="71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6028"/>
      </w:tblGrid>
      <w:tr w:rsidR="00CB4EFD" w:rsidRPr="00CB4EFD" w:rsidTr="00CB4EFD">
        <w:trPr>
          <w:jc w:val="center"/>
        </w:trPr>
        <w:tc>
          <w:tcPr>
            <w:tcW w:w="1129" w:type="dxa"/>
          </w:tcPr>
          <w:p w:rsidR="0050486F" w:rsidRPr="00CB4EFD" w:rsidRDefault="00DA4133" w:rsidP="00CB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B4EF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Месяц</w:t>
            </w:r>
          </w:p>
        </w:tc>
        <w:tc>
          <w:tcPr>
            <w:tcW w:w="6028" w:type="dxa"/>
          </w:tcPr>
          <w:p w:rsidR="0050486F" w:rsidRPr="00CB4EFD" w:rsidRDefault="00DA4133" w:rsidP="00CB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B4EF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Количество орфографических ошибок по теме в группе</w:t>
            </w:r>
          </w:p>
        </w:tc>
      </w:tr>
      <w:tr w:rsidR="00CB4EFD" w:rsidRPr="00CB4EFD" w:rsidTr="00CB4EFD">
        <w:trPr>
          <w:jc w:val="center"/>
        </w:trPr>
        <w:tc>
          <w:tcPr>
            <w:tcW w:w="1129" w:type="dxa"/>
          </w:tcPr>
          <w:p w:rsidR="0050486F" w:rsidRPr="00CB4EFD" w:rsidRDefault="00DA4133" w:rsidP="00CB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B4EF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09</w:t>
            </w:r>
          </w:p>
        </w:tc>
        <w:tc>
          <w:tcPr>
            <w:tcW w:w="6028" w:type="dxa"/>
          </w:tcPr>
          <w:p w:rsidR="0050486F" w:rsidRPr="00CB4EFD" w:rsidRDefault="00DA4133" w:rsidP="00CB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B4EF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3-10</w:t>
            </w:r>
          </w:p>
        </w:tc>
      </w:tr>
      <w:tr w:rsidR="00CB4EFD" w:rsidRPr="00CB4EFD" w:rsidTr="00CB4EFD">
        <w:trPr>
          <w:jc w:val="center"/>
        </w:trPr>
        <w:tc>
          <w:tcPr>
            <w:tcW w:w="1129" w:type="dxa"/>
          </w:tcPr>
          <w:p w:rsidR="0050486F" w:rsidRPr="00CB4EFD" w:rsidRDefault="00DA4133" w:rsidP="00CB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B4EF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6028" w:type="dxa"/>
          </w:tcPr>
          <w:p w:rsidR="0050486F" w:rsidRPr="00CB4EFD" w:rsidRDefault="00DA4133" w:rsidP="00CB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B4EF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3-7</w:t>
            </w:r>
          </w:p>
        </w:tc>
      </w:tr>
      <w:tr w:rsidR="00CB4EFD" w:rsidRPr="00CB4EFD" w:rsidTr="00CB4EFD">
        <w:trPr>
          <w:jc w:val="center"/>
        </w:trPr>
        <w:tc>
          <w:tcPr>
            <w:tcW w:w="1129" w:type="dxa"/>
          </w:tcPr>
          <w:p w:rsidR="0050486F" w:rsidRPr="00CB4EFD" w:rsidRDefault="00DA4133" w:rsidP="00CB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B4EF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6028" w:type="dxa"/>
          </w:tcPr>
          <w:p w:rsidR="0050486F" w:rsidRPr="00CB4EFD" w:rsidRDefault="00DA4133" w:rsidP="00CB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B4EF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2-5</w:t>
            </w:r>
          </w:p>
        </w:tc>
      </w:tr>
    </w:tbl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Упражнения рекомендуется комментировать вслух, чтобы каждый участник проговаривал примеры и проверочные слова или объяснял правило. Также рекомендуется выделять орфограммы графически, используя цветные ручки и изменение шрифта. Графическое обозначение прав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ила помогает зрительному запоминанию правописания. Отдельно стоит сказать о способе ведения тетради. Учитывая ключи глазного доступа и зону памяти, было решено орфографические правила записывать с левой стороны тетради (зона визуальной памяти), а практичес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кие упражнения – с правой. Для левшей способ ведения тетради будет обратный.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После проверки работ ученикам предлагается выписать в конец тетради слова, в которых они сделали ошибки, графически объяснить правило и проработать слова по стратегии орфографии,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предлагаемой М. А. Павловой.   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Стратегия орфографии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Поместите правильное написание слова напротив себя так, чтобы вы могли его видеть. 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Закройте глаза и подумайте о чём-то приятном и расслабляющем. Когда это чувство окрепнет, откройте глаза и по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смотрите на слово. 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Поднимите глаза вверх влево и нарисуйте это правильное написание во внутреннем взоре (Что вы видите?) 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Взгляните на воображаемый вами образ этого слова и запишите буквы, которые видите. Сверьтесь с правильным написанием.  Если вы ошибли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сь, вернитесь на одну ступень. 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Посмотрите на воображаемый внутренний образ и напишите слово задом наперёд (справа налево). Проверьте написание. Если есть ошибки, вернитесь на три ступени. [3:71]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Подобные приемы вызывают неподдельный интерес обучающихся, о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собенно им нравится упражнения на развитие визуализации и памяти, такие как «Оживление», «Метод Цицерона» и др. Чтобы запомнить список из 20 слов, ученики должны нарисовать в воображении мультфильм, героями которого станут названные предметы или существа,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или мысленно расставить предметы по комнате.  Левополушарные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визаулы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аудиалы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очень быстро включаются в работу, а вот правополушарные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кинестетики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испытывают некоторые затруднения при визуализации, поэтому вводить подобного рода упражнения нужно постепенно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начиная с самых простых образов. 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завершении занятия давались релаксационные упражнения или метафоры. На первый взгляд метафоры не имеют прямого отношения к теме, однако они на ассоциативном уровне помогают преподавателю донести до </w:t>
      </w:r>
      <w:proofErr w:type="gram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</w:t>
      </w:r>
      <w:proofErr w:type="gram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определе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нную мысль. Метафоры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можно использовать как мощный элемент обучения или подкрепления положительной мотивации к обучению. Например, метафора «Все в твоих руках»: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«Эта история произошла давным-давно в старинном городе, в котором жил великий мудрец. Слава о е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го мудрости разнеслась далеко вокруг его родного города. Но был в городе человек, завидующий его славе. И вот решил он придумать такой вопрос, чтобы мудрец не смог на него ответить. И он пошел на луг, поймал бабочку, посадил ее между сомкнутых ладоней и по</w:t>
      </w:r>
      <w:r w:rsidR="00773494">
        <w:rPr>
          <w:rFonts w:ascii="Times New Roman" w:eastAsia="Times New Roman" w:hAnsi="Times New Roman" w:cs="Times New Roman"/>
          <w:sz w:val="24"/>
          <w:szCs w:val="24"/>
          <w:highlight w:val="white"/>
        </w:rPr>
        <w:t>думал: «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Спрошу-ка я у мудреца: скажи, о</w:t>
      </w:r>
      <w:r w:rsidR="0077349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мудрейший, какая бабочка у меня в руках – живая или мертвая? Если он скажет живая, я сомкну ладони, и бабочка умрет, а если он скажет мертвая, я раскрою ладони, и бабочка улетит. Вот тогда все поймут, кто из нас умне</w:t>
      </w:r>
      <w:r w:rsidR="00773494">
        <w:rPr>
          <w:rFonts w:ascii="Times New Roman" w:eastAsia="Times New Roman" w:hAnsi="Times New Roman" w:cs="Times New Roman"/>
          <w:sz w:val="24"/>
          <w:szCs w:val="24"/>
          <w:highlight w:val="white"/>
        </w:rPr>
        <w:t>е»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. Так все и случилось. Завистник поймал бабочку, посадил ее между ладонями и отправился к мудрецу. И он спросил у того:</w:t>
      </w:r>
    </w:p>
    <w:p w:rsidR="0050486F" w:rsidRPr="00CB4EFD" w:rsidRDefault="00773494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="00DA4133"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Какая бабочка у меня в руках, 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DA4133"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мудрейший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– живая или мертвая?»</w:t>
      </w:r>
      <w:r w:rsidR="00DA4133"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тогда мудрец, который действительно был очень умным человеком, ска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зал: «Все в твоих руках…</w:t>
      </w:r>
      <w:r w:rsidR="00DA4133"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» [3:10]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Необходимо отметить, что не стоит объяснять смысл метафоры, каждый обучающийся должен понять то, что важн</w:t>
      </w:r>
      <w:bookmarkStart w:id="1" w:name="_GoBack"/>
      <w:bookmarkEnd w:id="1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 именно для него в данный момент. 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Итак, можно сказать, что, несмотря на небольшой срок проведения эксперимента (с 0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1.09.2018 г. по 20.11.2018), частичное использование техник НЛП действительно дает результаты. Новые техники вызывают интерес у </w:t>
      </w:r>
      <w:proofErr w:type="gram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</w:t>
      </w:r>
      <w:proofErr w:type="gram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при изучении дисциплины «Русский язык» возникают положительные эмоции, устанавливается раппорт, в группе создается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приятная, доверительная атмосфера. По определенным орфографическим темам  группа, участвующая в эксперименте, продемонстрировала положительные результаты.</w:t>
      </w:r>
    </w:p>
    <w:p w:rsidR="0050486F" w:rsidRPr="00CB4EFD" w:rsidRDefault="0050486F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Список использованной литературы: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1. Адлер Г. НЛП-техники эффективной работы. Используй свой мозг на 101% [Текст] / Г. Адлер</w:t>
      </w:r>
      <w:proofErr w:type="gramStart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.</w:t>
      </w:r>
      <w:proofErr w:type="gramEnd"/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СПб.: Питер, 2011, 198 с.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EF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</w:rPr>
        <w:t>Гриндер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</w:rPr>
        <w:t xml:space="preserve"> М. Исправление школьного конвейера, или НЛП в педагогике: Практическое пособие к семинарам по НЛП</w:t>
      </w:r>
      <w:r w:rsidRPr="00CB4EFD">
        <w:rPr>
          <w:rFonts w:ascii="Times New Roman" w:hAnsi="Times New Roman" w:cs="Times New Roman"/>
          <w:sz w:val="24"/>
          <w:szCs w:val="24"/>
        </w:rPr>
        <w:t xml:space="preserve"> </w:t>
      </w:r>
      <w:r w:rsidRPr="00CB4EFD">
        <w:rPr>
          <w:rFonts w:ascii="Times New Roman" w:eastAsia="Times New Roman" w:hAnsi="Times New Roman" w:cs="Times New Roman"/>
          <w:sz w:val="24"/>
          <w:szCs w:val="24"/>
        </w:rPr>
        <w:t xml:space="preserve">[Текст] / М.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</w:rPr>
        <w:t>Гриндер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Pr="00CB4EFD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CB4EFD">
        <w:rPr>
          <w:rFonts w:ascii="Times New Roman" w:eastAsia="Times New Roman" w:hAnsi="Times New Roman" w:cs="Times New Roman"/>
          <w:sz w:val="24"/>
          <w:szCs w:val="24"/>
        </w:rPr>
        <w:t xml:space="preserve"> Независимая ассоциация психологов-практиков, 1995.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–</w:t>
      </w:r>
      <w:r w:rsidRPr="00CB4EFD">
        <w:rPr>
          <w:rFonts w:ascii="Times New Roman" w:eastAsia="Times New Roman" w:hAnsi="Times New Roman" w:cs="Times New Roman"/>
          <w:sz w:val="24"/>
          <w:szCs w:val="24"/>
        </w:rPr>
        <w:t xml:space="preserve"> 25 с., 36 с.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EFD">
        <w:rPr>
          <w:rFonts w:ascii="Times New Roman" w:eastAsia="Times New Roman" w:hAnsi="Times New Roman" w:cs="Times New Roman"/>
          <w:sz w:val="24"/>
          <w:szCs w:val="24"/>
        </w:rPr>
        <w:t xml:space="preserve">3. Павлова М.А. Интенсивный курс повышения грамотности на основе НЛП: учебное пособие [Текст] /.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>–</w:t>
      </w:r>
      <w:r w:rsidRPr="00CB4EFD">
        <w:rPr>
          <w:rFonts w:ascii="Times New Roman" w:eastAsia="Times New Roman" w:hAnsi="Times New Roman" w:cs="Times New Roman"/>
          <w:sz w:val="24"/>
          <w:szCs w:val="24"/>
        </w:rPr>
        <w:t xml:space="preserve"> М.: Совершенство, 1997.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</w:t>
      </w:r>
      <w:r w:rsidRPr="00CB4EFD">
        <w:rPr>
          <w:rFonts w:ascii="Times New Roman" w:eastAsia="Times New Roman" w:hAnsi="Times New Roman" w:cs="Times New Roman"/>
          <w:sz w:val="24"/>
          <w:szCs w:val="24"/>
        </w:rPr>
        <w:t xml:space="preserve"> 23 с.</w:t>
      </w:r>
    </w:p>
    <w:p w:rsidR="0050486F" w:rsidRPr="00CB4EFD" w:rsidRDefault="00DA4133" w:rsidP="00CB4EF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EFD">
        <w:rPr>
          <w:rFonts w:ascii="Times New Roman" w:eastAsia="Times New Roman" w:hAnsi="Times New Roman" w:cs="Times New Roman"/>
          <w:sz w:val="24"/>
          <w:szCs w:val="24"/>
        </w:rPr>
        <w:t xml:space="preserve">4. Путилина Е.А.,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</w:rPr>
        <w:t xml:space="preserve"> Е.О.  Применение теории нейролинг</w:t>
      </w:r>
      <w:r w:rsidRPr="00CB4EFD">
        <w:rPr>
          <w:rFonts w:ascii="Times New Roman" w:eastAsia="Times New Roman" w:hAnsi="Times New Roman" w:cs="Times New Roman"/>
          <w:sz w:val="24"/>
          <w:szCs w:val="24"/>
        </w:rPr>
        <w:t xml:space="preserve">вистического программирования в обучении иностранным языкам [Электронный ресурс] / Е.А. Путилина, Е.О. 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</w:rPr>
        <w:t>Lingua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EFD">
        <w:rPr>
          <w:rFonts w:ascii="Times New Roman" w:eastAsia="Times New Roman" w:hAnsi="Times New Roman" w:cs="Times New Roman"/>
          <w:sz w:val="24"/>
          <w:szCs w:val="24"/>
        </w:rPr>
        <w:t>mobilis</w:t>
      </w:r>
      <w:proofErr w:type="spellEnd"/>
      <w:r w:rsidRPr="00CB4E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Pr="00CB4EFD">
        <w:rPr>
          <w:rFonts w:ascii="Times New Roman" w:eastAsia="Times New Roman" w:hAnsi="Times New Roman" w:cs="Times New Roman"/>
          <w:sz w:val="24"/>
          <w:szCs w:val="24"/>
        </w:rPr>
        <w:t xml:space="preserve"> №2 (48). 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</w:t>
      </w:r>
      <w:r w:rsidRPr="00CB4EFD">
        <w:rPr>
          <w:rFonts w:ascii="Times New Roman" w:eastAsia="Times New Roman" w:hAnsi="Times New Roman" w:cs="Times New Roman"/>
          <w:sz w:val="24"/>
          <w:szCs w:val="24"/>
        </w:rPr>
        <w:t xml:space="preserve"> 2014.</w:t>
      </w:r>
      <w:r w:rsidRPr="00CB4E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</w:t>
      </w:r>
      <w:r w:rsidRPr="00CB4EFD">
        <w:rPr>
          <w:rFonts w:ascii="Times New Roman" w:eastAsia="Times New Roman" w:hAnsi="Times New Roman" w:cs="Times New Roman"/>
          <w:sz w:val="24"/>
          <w:szCs w:val="24"/>
        </w:rPr>
        <w:t xml:space="preserve"> Режим доступа:</w:t>
      </w:r>
      <w:r w:rsidRPr="00CB4EFD">
        <w:rPr>
          <w:rFonts w:ascii="Times New Roman" w:hAnsi="Times New Roman" w:cs="Times New Roman"/>
          <w:sz w:val="24"/>
          <w:szCs w:val="24"/>
        </w:rPr>
        <w:t xml:space="preserve"> </w:t>
      </w:r>
      <w:r w:rsidRPr="00CB4EFD">
        <w:rPr>
          <w:rFonts w:ascii="Times New Roman" w:eastAsia="PT Sans" w:hAnsi="Times New Roman" w:cs="Times New Roman"/>
          <w:sz w:val="24"/>
          <w:szCs w:val="24"/>
        </w:rPr>
        <w:t xml:space="preserve"> </w:t>
      </w:r>
      <w:hyperlink r:id="rId7">
        <w:r w:rsidRPr="00CB4EF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https://cyberleninka.ru/article/v/primenenie-teorii-neyrolingvisticheskogo-programmirovaniya-v-obuchenii-inostrann</w:t>
        </w:r>
        <w:r w:rsidRPr="00CB4EF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ym-yazykam</w:t>
        </w:r>
      </w:hyperlink>
      <w:r w:rsidRPr="00CB4EFD">
        <w:rPr>
          <w:rFonts w:ascii="Times New Roman" w:eastAsia="Times New Roman" w:hAnsi="Times New Roman" w:cs="Times New Roman"/>
          <w:sz w:val="24"/>
          <w:szCs w:val="24"/>
        </w:rPr>
        <w:t>. – 126 с.</w:t>
      </w:r>
    </w:p>
    <w:p w:rsidR="0050486F" w:rsidRDefault="0050486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left="426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0486F" w:rsidSect="00CB4EFD">
      <w:footerReference w:type="default" r:id="rId8"/>
      <w:pgSz w:w="11906" w:h="16838"/>
      <w:pgMar w:top="1134" w:right="1134" w:bottom="1134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33" w:rsidRDefault="00DA4133" w:rsidP="00CB4EFD">
      <w:pPr>
        <w:spacing w:after="0" w:line="240" w:lineRule="auto"/>
      </w:pPr>
      <w:r>
        <w:separator/>
      </w:r>
    </w:p>
  </w:endnote>
  <w:endnote w:type="continuationSeparator" w:id="0">
    <w:p w:rsidR="00DA4133" w:rsidRDefault="00DA4133" w:rsidP="00CB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597956"/>
      <w:docPartObj>
        <w:docPartGallery w:val="Page Numbers (Bottom of Page)"/>
        <w:docPartUnique/>
      </w:docPartObj>
    </w:sdtPr>
    <w:sdtContent>
      <w:p w:rsidR="00CB4EFD" w:rsidRDefault="00CB4EF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494">
          <w:rPr>
            <w:noProof/>
          </w:rPr>
          <w:t>5</w:t>
        </w:r>
        <w:r>
          <w:fldChar w:fldCharType="end"/>
        </w:r>
      </w:p>
    </w:sdtContent>
  </w:sdt>
  <w:p w:rsidR="00CB4EFD" w:rsidRDefault="00CB4EF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33" w:rsidRDefault="00DA4133" w:rsidP="00CB4EFD">
      <w:pPr>
        <w:spacing w:after="0" w:line="240" w:lineRule="auto"/>
      </w:pPr>
      <w:r>
        <w:separator/>
      </w:r>
    </w:p>
  </w:footnote>
  <w:footnote w:type="continuationSeparator" w:id="0">
    <w:p w:rsidR="00DA4133" w:rsidRDefault="00DA4133" w:rsidP="00CB4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486F"/>
    <w:rsid w:val="0050486F"/>
    <w:rsid w:val="00773494"/>
    <w:rsid w:val="00CB4EFD"/>
    <w:rsid w:val="00D6199C"/>
    <w:rsid w:val="00DA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E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0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5DEB"/>
  </w:style>
  <w:style w:type="character" w:styleId="a6">
    <w:name w:val="Hyperlink"/>
    <w:basedOn w:val="a0"/>
    <w:uiPriority w:val="99"/>
    <w:unhideWhenUsed/>
    <w:rsid w:val="00805DE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B3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D4FA7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EB4378"/>
    <w:rPr>
      <w:color w:val="954F72" w:themeColor="followedHyperlink"/>
      <w:u w:val="single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CB4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4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E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05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5DEB"/>
  </w:style>
  <w:style w:type="character" w:styleId="a6">
    <w:name w:val="Hyperlink"/>
    <w:basedOn w:val="a0"/>
    <w:uiPriority w:val="99"/>
    <w:unhideWhenUsed/>
    <w:rsid w:val="00805DE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B3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D4FA7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EB4378"/>
    <w:rPr>
      <w:color w:val="954F72" w:themeColor="followedHyperlink"/>
      <w:u w:val="single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CB4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4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v/primenenie-teorii-neyrolingvisticheskogo-programmirovaniya-v-obuchenii-inostrannym-yazyk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pc100</cp:lastModifiedBy>
  <cp:revision>2</cp:revision>
  <dcterms:created xsi:type="dcterms:W3CDTF">2019-01-21T08:10:00Z</dcterms:created>
  <dcterms:modified xsi:type="dcterms:W3CDTF">2019-01-21T08:30:00Z</dcterms:modified>
</cp:coreProperties>
</file>